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imes New Roman" w:hAnsi="Times New Roman" w:eastAsia="方正小标宋简体"/>
          <w:bCs/>
          <w:color w:val="FF0000"/>
          <w:spacing w:val="-20"/>
          <w:sz w:val="78"/>
          <w:szCs w:val="78"/>
        </w:rPr>
      </w:pPr>
      <w:r>
        <w:rPr>
          <w:rFonts w:hint="eastAsia" w:ascii="Times New Roman" w:hAnsi="Times New Roman" w:eastAsia="方正小标宋简体"/>
          <w:bCs/>
          <w:color w:val="FF0000"/>
          <w:spacing w:val="-20"/>
          <w:sz w:val="78"/>
          <w:szCs w:val="78"/>
        </w:rPr>
        <w:t>龙川县</w:t>
      </w:r>
      <w:r>
        <w:rPr>
          <w:rFonts w:ascii="Times New Roman" w:hAnsi="Times New Roman" w:eastAsia="方正小标宋简体"/>
          <w:bCs/>
          <w:color w:val="FF0000"/>
          <w:spacing w:val="-20"/>
          <w:sz w:val="78"/>
          <w:szCs w:val="78"/>
        </w:rPr>
        <w:t>消防救援</w:t>
      </w:r>
      <w:r>
        <w:rPr>
          <w:rFonts w:hint="eastAsia" w:ascii="Times New Roman" w:hAnsi="Times New Roman" w:eastAsia="方正小标宋简体"/>
          <w:bCs/>
          <w:color w:val="FF0000"/>
          <w:spacing w:val="-20"/>
          <w:sz w:val="78"/>
          <w:szCs w:val="78"/>
        </w:rPr>
        <w:t>大</w:t>
      </w:r>
      <w:r>
        <w:rPr>
          <w:rFonts w:ascii="Times New Roman" w:hAnsi="Times New Roman" w:eastAsia="方正小标宋简体"/>
          <w:bCs/>
          <w:color w:val="FF0000"/>
          <w:spacing w:val="-20"/>
          <w:sz w:val="78"/>
          <w:szCs w:val="78"/>
        </w:rPr>
        <w:t>队</w:t>
      </w:r>
    </w:p>
    <w:p>
      <w:pPr>
        <w:spacing w:line="592" w:lineRule="exact"/>
        <w:rPr>
          <w:rStyle w:val="6"/>
          <w:rFonts w:ascii="Times New Roman" w:hAnsi="Times New Roman" w:eastAsia="方正小标宋简体"/>
          <w:b w:val="0"/>
          <w:sz w:val="44"/>
          <w:szCs w:val="44"/>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102235</wp:posOffset>
                </wp:positionH>
                <wp:positionV relativeFrom="paragraph">
                  <wp:posOffset>44450</wp:posOffset>
                </wp:positionV>
                <wp:extent cx="5459730" cy="825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459730" cy="825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05pt;margin-top:3.5pt;height:0.65pt;width:429.9pt;z-index:251660288;mso-width-relative:page;mso-height-relative:page;" filled="f" stroked="t" coordsize="21600,21600" o:gfxdata="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ABVYfWAAAABgEAAA8AAAAAAAAAAQAgAAAAIgAAAGRycy9k&#10;b3ducmV2LnhtbFBLAQIUABQAAAAIAIdO4kCTQvTDBAIAAAAEAAAOAAAAAAAAAAEAIAAAACUBAABk&#10;cnMvZTJvRG9jLnhtbFBLBQYAAAAABgAGAFkBAACbBQAAAAA=&#10;">
                <v:fill on="f" focussize="0,0"/>
                <v:stroke weight="1.5pt" color="#FF0000" joinstyle="round"/>
                <v:imagedata o:title=""/>
                <o:lock v:ext="edit" aspectratio="f"/>
              </v:line>
            </w:pict>
          </mc:Fallback>
        </mc:AlternateContent>
      </w:r>
    </w:p>
    <w:p>
      <w:pPr>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2021年消防工作总结</w:t>
      </w:r>
    </w:p>
    <w:p>
      <w:pPr>
        <w:tabs>
          <w:tab w:val="left" w:pos="8532"/>
        </w:tabs>
        <w:spacing w:line="60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今年以来，在县委、县政府的正确领导下，龙川县消防救援大队认真践行习近平总书记授旗训词精神，以党史学习教育、庆祝建党100周年安保、全员大练兵活动、消防安全专项整治三年行动、正规化建设等工作为重点，落实消防安全责任，夯实消防工作基础，牢牢守住消防安全底线，全县消防安全形势和队伍安全形势持续保持稳定。现将2021年全年消防工作情况报告如下：</w:t>
      </w:r>
    </w:p>
    <w:p>
      <w:pPr>
        <w:rPr>
          <w:rFonts w:hint="eastAsia" w:ascii="仿宋_GB2312" w:eastAsia="仿宋_GB2312"/>
          <w:sz w:val="32"/>
          <w:szCs w:val="32"/>
        </w:rPr>
      </w:pPr>
      <w:r>
        <w:rPr>
          <w:rFonts w:hint="eastAsia" w:ascii="仿宋_GB2312" w:eastAsia="仿宋_GB2312"/>
          <w:sz w:val="32"/>
          <w:szCs w:val="32"/>
        </w:rPr>
        <w:t>　　一、全年救援情况</w:t>
      </w:r>
    </w:p>
    <w:p>
      <w:pPr>
        <w:rPr>
          <w:rFonts w:hint="eastAsia" w:ascii="仿宋_GB2312" w:eastAsia="仿宋_GB2312"/>
          <w:sz w:val="32"/>
          <w:szCs w:val="32"/>
        </w:rPr>
      </w:pPr>
      <w:r>
        <w:rPr>
          <w:rFonts w:hint="eastAsia" w:ascii="仿宋_GB2312" w:eastAsia="仿宋_GB2312"/>
          <w:sz w:val="32"/>
          <w:szCs w:val="32"/>
        </w:rPr>
        <w:t>　　龙川县消防救援大队全年接警出动670次，出动车辆833辆，出动警力3634人，疏散被困人员365人，抢救财产价值173万元，圆满完成1·14 连平大湖山火增援、8·14丰稔镇汽修厂火灾、11·8老隆镇铁路生活区民房火灾、12·20登云工业园育龙新材料有限公司厂房火灾等急难险重任务，始终奋战在救援一线，守护着龙川千年古邑。</w:t>
      </w:r>
    </w:p>
    <w:p>
      <w:pPr>
        <w:rPr>
          <w:rFonts w:hint="eastAsia" w:ascii="仿宋_GB2312" w:eastAsia="仿宋_GB2312"/>
          <w:sz w:val="32"/>
          <w:szCs w:val="32"/>
        </w:rPr>
      </w:pPr>
      <w:r>
        <w:rPr>
          <w:rFonts w:hint="eastAsia" w:ascii="仿宋_GB2312" w:eastAsia="仿宋_GB2312"/>
          <w:sz w:val="32"/>
          <w:szCs w:val="32"/>
        </w:rPr>
        <w:t>　　二、主要工作情况</w:t>
      </w:r>
    </w:p>
    <w:p>
      <w:pPr>
        <w:rPr>
          <w:rFonts w:hint="eastAsia" w:ascii="仿宋_GB2312" w:eastAsia="仿宋_GB2312"/>
          <w:sz w:val="32"/>
          <w:szCs w:val="32"/>
        </w:rPr>
      </w:pPr>
      <w:r>
        <w:rPr>
          <w:rFonts w:hint="eastAsia" w:ascii="仿宋_GB2312" w:eastAsia="仿宋_GB2312"/>
          <w:sz w:val="32"/>
          <w:szCs w:val="32"/>
        </w:rPr>
        <w:t>　　（一）强化政府主导，推动各级消防责任落实。始终将落实责任制作为做好消防工作的主线，多角度切入，多措施推动。今年以来，县委县政府有关领导先后听取消防工作汇报20余次，带队开展消防检查15次，县政府十六届第82次常务会议专题学习贯彻《广东省消防工作若干规定》，每季度召开消防工作会议，部署开展消防工作；县消安委发文调整县消安委领导机构和成员，印发文件30余份，部署开展消防专项整治行动；县委孔德胜书记、县四套领导班子成员、县政府党组成员等领导出席2021年“119”消防宣传月启动仪式，县长刘力代表县委县政府为仪式进行了致辞；县政府建立应急管理工作机制，每周召开一次专题研讨会议，将消防工作纳入专题进行研究，进一步推动各镇、行业部门消防责任有效落实。</w:t>
      </w:r>
    </w:p>
    <w:p>
      <w:pPr>
        <w:rPr>
          <w:rFonts w:hint="eastAsia" w:ascii="仿宋_GB2312" w:eastAsia="仿宋_GB2312"/>
          <w:sz w:val="32"/>
          <w:szCs w:val="32"/>
        </w:rPr>
      </w:pPr>
      <w:r>
        <w:rPr>
          <w:rFonts w:hint="eastAsia" w:ascii="仿宋_GB2312" w:eastAsia="仿宋_GB2312"/>
          <w:sz w:val="32"/>
          <w:szCs w:val="32"/>
        </w:rPr>
        <w:t>　　（二）开展专项整治，防范化解重大风险。今年以来，结合全县消防工作和疫情防控实际，围绕全国两会、庆祝建党100周年安保等工作，以“三年专项整治工作”为主线，大力推进火灾隐患高风险区域专项整治及电动自行车（电动摩托车）消防安全专项治理等重点工作，老隆镇已完成水贝片区和旺兴城水果批发市场火灾高风险区域火灾隐患评估，进入施工整改阶段；联合住建、教育、卫健、应急管理等部门，开展了高层建筑、居民自建房、校外培训机构、卫生医疗机构、危化品、工厂企业、婚纱摄影和民宿场所等专项检查工作，全面清查火灾隐患；开展重点场所达标创建工作，联合民镇、文广旅体、教育等部门在学校、文博单位开展消防安全管理试点建设，通过以点带面全面推进行业消防安全管理水平；提请县委县政府部署开展龙川县消防安全大排查大整治百日攻坚行动，行动时间持续到2022年 2月18日，全面排查辖区重大消防安全隐患风险点，有效控制和消除火灾风险；今年以来，按照“双随机</w:t>
      </w:r>
      <w:r>
        <w:rPr>
          <w:rFonts w:hint="eastAsia" w:ascii="仿宋_GB2312" w:eastAsia="仿宋_GB2312"/>
          <w:sz w:val="32"/>
          <w:szCs w:val="32"/>
          <w:lang w:eastAsia="zh-CN"/>
        </w:rPr>
        <w:t>、</w:t>
      </w:r>
      <w:r>
        <w:rPr>
          <w:rFonts w:hint="eastAsia" w:ascii="仿宋_GB2312" w:eastAsia="仿宋_GB2312"/>
          <w:sz w:val="32"/>
          <w:szCs w:val="32"/>
        </w:rPr>
        <w:t>一公开”的监管方式共检查单位398家次，发现火灾隐患或违法行为231处，督促整改火灾隐患或违法行为229处，下发责令改正通知书212份，下发行政处罚决定书19份，下发临时查封决定书8份，</w:t>
      </w:r>
      <w:bookmarkStart w:id="0" w:name="_GoBack"/>
      <w:bookmarkEnd w:id="0"/>
      <w:r>
        <w:rPr>
          <w:rFonts w:hint="eastAsia" w:ascii="仿宋_GB2312" w:eastAsia="仿宋_GB2312"/>
          <w:sz w:val="32"/>
          <w:szCs w:val="32"/>
        </w:rPr>
        <w:t>责令三停单位2家，罚款7.97万元，社会消防安全环境进一步优化。</w:t>
      </w:r>
    </w:p>
    <w:p>
      <w:pPr>
        <w:rPr>
          <w:rFonts w:hint="eastAsia" w:ascii="仿宋_GB2312" w:eastAsia="仿宋_GB2312"/>
          <w:sz w:val="32"/>
          <w:szCs w:val="32"/>
        </w:rPr>
      </w:pPr>
      <w:r>
        <w:rPr>
          <w:rFonts w:hint="eastAsia" w:ascii="仿宋_GB2312" w:eastAsia="仿宋_GB2312"/>
          <w:sz w:val="32"/>
          <w:szCs w:val="32"/>
        </w:rPr>
        <w:t>　　（三）深挖消防短板，夯实基层火灾防控基础。以“党史学习教育”和“我为群众办实事”活动为契机，深挖农村火灾防控工作中的短板弱项问题，以赤光镇为试点，提请县政府印发整治工作方案，部署开展农村独居老人居住场所消防安全专项整治工作，并召开整治工作现场会，大力推广电器火灾监控系统和无线烟感报警器，推动村（居）微型消防站建设工作。目前，辖区累计安装联网式无线火灾报警器1200个，电气火灾监控系统35套；针对基层消防监管力量不足、网格职责不清等问题，积极向县里建言献策。目前，县政府已选定麻布岗镇开展应急网格综合巡查队伍试点工作，整合原有村居委干部、护林员等人员，镇政府成立应急网格综合巡查中队，村（居）为分队，由村（居）书记担任分队长，每周制定巡查计划，消防镇街网格化管理工作作为其中一项内容列入其中，并落实网格化管理奖惩工作机制、火灾隐患逐级上报和分级整改制度，有效推动三级网格责任的落实，基层火灾防控基础大幅提升。</w:t>
      </w:r>
    </w:p>
    <w:p>
      <w:pPr>
        <w:rPr>
          <w:rFonts w:hint="eastAsia" w:ascii="仿宋_GB2312" w:eastAsia="仿宋_GB2312"/>
          <w:sz w:val="32"/>
          <w:szCs w:val="32"/>
        </w:rPr>
      </w:pPr>
      <w:r>
        <w:rPr>
          <w:rFonts w:hint="eastAsia" w:ascii="仿宋_GB2312" w:eastAsia="仿宋_GB2312"/>
          <w:sz w:val="32"/>
          <w:szCs w:val="32"/>
        </w:rPr>
        <w:t>　　（四）加强正规化建设，队伍打赢能力显著提升。今年以来，队站在正规化建设质量和精细化管理上下狠功夫，对营区进行了标识化，场库室进行了规范化，管理规章制度化，做到按纲施训；深入开展队伍思想管理教育工作，先后出台了《日常秩序流程规范》、《思想政治教育制度规范汇编》和《文化建设工作图册》，完善了队站工作制度体系，并规范交接班、交接岗、班务会等活动和日常管理工作实施程序，顺利完成老隆消防救援站正规化试点、“两个经常性”工作试点任务。同时，紧盯龙川县灾害事故特点，组织开展县城最不利点火灾扑救模拟测试，积极向县里提出火灾扑救科学建议，形成专题测试报告提交县政府，县长刘力亲自主持召开专题消防工作会议，研究工作对策；指导救援站制定了《辖区类型灭火救援训练规程》，自主设立操法灭火类、破拆类、救援类、自救类四大类共20种操法；选派业务骨干参加省消防救援总队水域救援技术实训班，出台制定了龙川县消防救援大队抗洪抢险预案，根据执勤任务需求和编制情况组建18人抗洪抢险救援队；联合县应急管理、供电、气象、水务等部门举办了2021年龙川县防汛抢险综合演练，队伍综合救援能力显著提升。年内，下辖老隆消防救援站取得了支队会操团体第一名2次，第二名3次，被评为执勤训练先进消防救援站、先进基层党支部，1人获评执勤训练先进个人，叶健林同志被总队评为优秀党员，获评2021年第三季度“广东好人”称号，谢振威同志荣获第二届南粤消防忠诚卫士称号。</w:t>
      </w:r>
    </w:p>
    <w:p>
      <w:pPr>
        <w:rPr>
          <w:rFonts w:hint="eastAsia" w:ascii="仿宋_GB2312" w:eastAsia="仿宋_GB2312"/>
          <w:sz w:val="32"/>
          <w:szCs w:val="32"/>
        </w:rPr>
      </w:pPr>
      <w:r>
        <w:rPr>
          <w:rFonts w:hint="eastAsia" w:ascii="仿宋_GB2312" w:eastAsia="仿宋_GB2312"/>
          <w:sz w:val="32"/>
          <w:szCs w:val="32"/>
        </w:rPr>
        <w:t xml:space="preserve">　　（五）加强思政教育，骨干队伍素质显著提高。一是做好“两个经常性工作”确保队伍高度稳定。大队成立心理骨干小组、思想骨干小组，组织小组成员开展专业培训，力求用更专业的知识为指战员开展心理健康辅导；二是建立“五表十卡”档案，以及时跟踪掌握、统计分析指战员思想、行为和心理变化，深入推进正规化制度运行，进一步加大经常性思想工作、经常性管理工作力度，切实预防事故案件，巩固和提高战斗力，推动队伍建设持续安全发展；三是严格“三全”管理深化“九无”创建活动全面强化队伍安全管理。着眼队伍安全稳定大局，以条令纲要、《安全管理规定》为指导，紧盯队伍安全管理工作的新情况、新特点，全面落实“三全”管理要求，大队党委以高度的责任感和强烈的安全意识，开展车辆、器材装备大检查，共计更换消防车轮胎10条，为指战员执勤训练安全保驾护航；四是从严从实开展廉政警示教育活动。为贯彻落实十九届中央纪委五次全会和应急管理部“5·7”党风廉政建设会议精神，进一步提高广大指战员忠诚意识、宗旨意识、责任意识和纪律意识，营造干事创业、遵纪守法、风清气正的良好政治生态；五是多种平台融合开展党史学习教育。充分利用学习强国平台、微信公众号等新平台上丰富的党史学习资源，开展微党课网课学习教育并组织考试，切实增强了学习教育的吸引力和感染力，用指战员喜闻乐见的方式学习党史；六是持续开展“我为群众办实事”实践活动。大队以服务基层群众的实事为切入点，充分发挥党员模范带头作用，列出“我为群众办实事”项目清单，制定实施方案，组织消防站开放日，方便群众预约接受免费消防培训教育，鼓励群众参与消防安全专业培训，切实提升群众的消防安全素质，同时立足辖区实际开展“结对子”实践活动，聚焦身边人身边事，多做助人为乐、雪中送炭的好事。                  </w:t>
      </w:r>
    </w:p>
    <w:p>
      <w:pPr>
        <w:rPr>
          <w:rFonts w:hint="eastAsia" w:ascii="仿宋_GB2312" w:eastAsia="仿宋_GB2312"/>
          <w:sz w:val="32"/>
          <w:szCs w:val="32"/>
        </w:rPr>
      </w:pPr>
      <w:r>
        <w:rPr>
          <w:rFonts w:hint="eastAsia" w:ascii="仿宋_GB2312" w:eastAsia="仿宋_GB2312"/>
          <w:sz w:val="32"/>
          <w:szCs w:val="32"/>
        </w:rPr>
        <w:t>　　（六）深化宣传教育，提升全民消防安全素质。今年以来，结合全年消防重点工作任务要求，专题请示龙川县政府拨付消防宣传专项经费37万元，邀请第三方培训学校先后开展了重点单位、微型消防站、村（社区）居委会负责人和24个乡镇“三合一”场所负责人消防培训，大力培养消防安全“明白人”；承办开展了全市校外培训机构、全市中小学生“开学第一课”线上直播活动和2021年“119”消防宣传月启动仪式，社会反响热烈；上门指导辖区兴莱鞋厂、帝闻电子厂等大型工厂企业自主开展消防培训演练活动，举办了全县卫生健康和教育系统消防安全知识培训班；主动加强与省市县主流媒体的合作，与河源晚报签订宣传合作协议，定期向媒体报送各类专项整治、宣传培训和接处警情况，累计刊播消防工作新闻200余条，曝光消防违法违规行为30余次，大队多项亮点工作被中央、省市各大主流媒体广泛报道；结合消防宣传“五进”和“消防进万家”活动，大力推广全民消防安全学习云平台和消防志愿者平台，发动中小微企业负责人、管理人、员工自主上线进行学习消防知识；精心组织“3·15”消费者权益日、“5·12”防灾减灾周、“安全生产月”、“消防进军训“等活动，全年开放消防站100余次，线上线下举办各类消防培训380余次，开展大型应急疏散演练活动30余场，播放消防公益广告1000余次，发放宣传资料6万余份，全民消防素质有效提升。</w:t>
      </w:r>
    </w:p>
    <w:p>
      <w:pPr>
        <w:rPr>
          <w:rFonts w:hint="eastAsia" w:ascii="仿宋_GB2312" w:eastAsia="仿宋_GB2312"/>
          <w:sz w:val="32"/>
          <w:szCs w:val="32"/>
        </w:rPr>
      </w:pPr>
      <w:r>
        <w:rPr>
          <w:rFonts w:hint="eastAsia" w:ascii="仿宋_GB2312" w:eastAsia="仿宋_GB2312"/>
          <w:sz w:val="32"/>
          <w:szCs w:val="32"/>
        </w:rPr>
        <w:t>　　下一步，大队将在县委县政府坚强领导下，继续以习近平新时代中国特色社会主义思想和重要训词精神为统领，全面提升队伍教育管理和综合保障水平，努力锻造“对党忠诚、纪律严明、赴汤蹈火、竭诚为民”的队伍，全力推进消防工作和队伍建设再上新台阶。</w:t>
      </w:r>
    </w:p>
    <w:p>
      <w:pPr>
        <w:rPr>
          <w:rFonts w:hint="eastAsia" w:ascii="仿宋_GB2312" w:eastAsia="仿宋_GB2312"/>
          <w:sz w:val="32"/>
          <w:szCs w:val="32"/>
        </w:rPr>
      </w:pPr>
    </w:p>
    <w:p>
      <w:pPr>
        <w:rPr>
          <w:rFonts w:hint="eastAsia" w:ascii="仿宋_GB2312" w:eastAsia="仿宋_GB2312"/>
          <w:sz w:val="32"/>
          <w:szCs w:val="32"/>
        </w:rPr>
      </w:pPr>
    </w:p>
    <w:p>
      <w:pPr>
        <w:jc w:val="right"/>
        <w:rPr>
          <w:rFonts w:hint="eastAsia" w:ascii="仿宋_GB2312" w:eastAsia="仿宋_GB2312"/>
          <w:sz w:val="32"/>
          <w:szCs w:val="32"/>
        </w:rPr>
      </w:pPr>
      <w:r>
        <w:rPr>
          <w:rFonts w:hint="eastAsia" w:ascii="仿宋_GB2312" w:eastAsia="仿宋_GB2312"/>
          <w:sz w:val="32"/>
          <w:szCs w:val="32"/>
        </w:rPr>
        <w:t>龙川县消防救援大队</w:t>
      </w:r>
    </w:p>
    <w:p>
      <w:pPr>
        <w:jc w:val="right"/>
      </w:pPr>
      <w:r>
        <w:rPr>
          <w:rFonts w:hint="eastAsia" w:ascii="仿宋_GB2312" w:eastAsia="仿宋_GB2312"/>
          <w:sz w:val="32"/>
          <w:szCs w:val="32"/>
        </w:rPr>
        <w:t>2021年11月29日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AyMmVkMWQ1MjgzMjJhYTFjMmEwZmQ4M2FjMmEifQ=="/>
  </w:docVars>
  <w:rsids>
    <w:rsidRoot w:val="00000000"/>
    <w:rsid w:val="00074FF8"/>
    <w:rsid w:val="133762B7"/>
    <w:rsid w:val="718E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仿宋体" w:cs="Times New Roman"/>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qFormat/>
    <w:uiPriority w:val="0"/>
    <w:rPr>
      <w:rFonts w:ascii="Verdana" w:hAnsi="Verdana" w:eastAsia="仿宋_GB2312" w:cs="Verdana"/>
      <w:b/>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2022-02-10T01:43:00Z</dcterms:created>
  <dc:creator>Administrator.AB-202012161731</dc:creator>
  <cp:lastModifiedBy>宝贝的宝</cp:lastModifiedBy>
  <dcterms:modified xsi:type="dcterms:W3CDTF">2025-12-24T01:49:39Z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83C5DC1B5A864C75A0C3880110A41CF3_13</vt:lpwstr>
  </property>
</Properties>
</file>