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0" w:firstLineChars="0"/>
        <w:jc w:val="center"/>
        <w:rPr>
          <w:rFonts w:eastAsia="黑体" w:cs="Times New Roman"/>
          <w:sz w:val="48"/>
          <w:szCs w:val="48"/>
        </w:rPr>
      </w:pPr>
      <w:bookmarkStart w:id="0" w:name="_Hlk124496398"/>
      <w:bookmarkStart w:id="1" w:name="_Hlk124496280"/>
    </w:p>
    <w:p>
      <w:pPr>
        <w:spacing w:line="300" w:lineRule="auto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>
      <w:pPr>
        <w:spacing w:line="300" w:lineRule="auto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bookmarkEnd w:id="0"/>
    <w:bookmarkEnd w:id="1"/>
    <w:p>
      <w:pPr>
        <w:spacing w:line="300" w:lineRule="auto"/>
        <w:ind w:firstLine="0" w:firstLineChars="0"/>
        <w:jc w:val="center"/>
        <w:rPr>
          <w:rFonts w:eastAsia="黑体" w:cs="Times New Roman"/>
          <w:sz w:val="48"/>
          <w:szCs w:val="48"/>
        </w:rPr>
      </w:pPr>
      <w:r>
        <w:rPr>
          <w:rFonts w:hint="eastAsia" w:eastAsia="黑体" w:cs="Times New Roman"/>
          <w:sz w:val="48"/>
          <w:szCs w:val="48"/>
        </w:rPr>
        <w:t>龙川县</w:t>
      </w:r>
      <w:r>
        <w:rPr>
          <w:rFonts w:hint="eastAsia" w:eastAsia="黑体" w:cs="Times New Roman"/>
          <w:sz w:val="48"/>
          <w:szCs w:val="48"/>
          <w:lang w:val="en-US" w:eastAsia="zh-CN"/>
        </w:rPr>
        <w:t>水坑河饮用水源保护区调整</w:t>
      </w:r>
      <w:r>
        <w:rPr>
          <w:rFonts w:hint="eastAsia" w:eastAsia="黑体" w:cs="Times New Roman"/>
          <w:sz w:val="48"/>
          <w:szCs w:val="48"/>
        </w:rPr>
        <w:t>方案</w:t>
      </w:r>
    </w:p>
    <w:p>
      <w:pPr>
        <w:spacing w:line="300" w:lineRule="auto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>
      <w:pPr>
        <w:spacing w:line="300" w:lineRule="auto"/>
        <w:ind w:firstLine="0" w:firstLineChars="0"/>
        <w:jc w:val="center"/>
        <w:rPr>
          <w:rFonts w:eastAsia="黑体" w:cs="Times New Roman"/>
          <w:sz w:val="48"/>
          <w:szCs w:val="48"/>
        </w:rPr>
      </w:pPr>
      <w:r>
        <w:rPr>
          <w:rFonts w:hint="eastAsia" w:eastAsia="黑体" w:cs="Times New Roman"/>
          <w:sz w:val="48"/>
          <w:szCs w:val="48"/>
        </w:rPr>
        <w:t>（</w:t>
      </w:r>
      <w:r>
        <w:rPr>
          <w:rFonts w:hint="eastAsia" w:eastAsia="黑体" w:cs="Times New Roman"/>
          <w:sz w:val="48"/>
          <w:szCs w:val="48"/>
          <w:lang w:val="en-US" w:eastAsia="zh-CN"/>
        </w:rPr>
        <w:t>征求意见稿</w:t>
      </w:r>
      <w:r>
        <w:rPr>
          <w:rFonts w:hint="eastAsia" w:eastAsia="黑体" w:cs="Times New Roman"/>
          <w:sz w:val="48"/>
          <w:szCs w:val="48"/>
        </w:rPr>
        <w:t>）</w:t>
      </w:r>
    </w:p>
    <w:p>
      <w:pPr>
        <w:spacing w:line="300" w:lineRule="auto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>
      <w:pPr>
        <w:spacing w:line="300" w:lineRule="auto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>
      <w:pPr>
        <w:spacing w:line="300" w:lineRule="auto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>
      <w:pPr>
        <w:spacing w:line="300" w:lineRule="auto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>
      <w:pPr>
        <w:spacing w:line="300" w:lineRule="auto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>
      <w:pPr>
        <w:spacing w:line="300" w:lineRule="auto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>
      <w:pPr>
        <w:spacing w:line="300" w:lineRule="auto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>
      <w:pPr>
        <w:spacing w:line="300" w:lineRule="auto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>
      <w:pPr>
        <w:spacing w:line="300" w:lineRule="auto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>
      <w:pPr>
        <w:spacing w:line="300" w:lineRule="auto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>
      <w:pPr>
        <w:ind w:firstLine="560"/>
        <w:rPr>
          <w:rFonts w:cs="Times New Roman"/>
        </w:rPr>
      </w:pPr>
    </w:p>
    <w:p>
      <w:pPr>
        <w:spacing w:line="300" w:lineRule="auto"/>
        <w:ind w:firstLine="0" w:firstLineChars="0"/>
        <w:jc w:val="center"/>
        <w:rPr>
          <w:rFonts w:cs="Times New Roman"/>
          <w:b/>
          <w:sz w:val="32"/>
          <w:szCs w:val="32"/>
        </w:rPr>
      </w:pPr>
    </w:p>
    <w:p>
      <w:pPr>
        <w:spacing w:line="300" w:lineRule="auto"/>
        <w:ind w:firstLine="0" w:firstLineChars="0"/>
        <w:jc w:val="center"/>
        <w:rPr>
          <w:rFonts w:cs="Times New Roman"/>
          <w:b/>
          <w:sz w:val="32"/>
          <w:szCs w:val="32"/>
        </w:rPr>
      </w:pPr>
    </w:p>
    <w:p>
      <w:pPr>
        <w:spacing w:line="300" w:lineRule="auto"/>
        <w:ind w:firstLine="0" w:firstLineChars="0"/>
        <w:jc w:val="center"/>
        <w:rPr>
          <w:rFonts w:cs="Times New Roman"/>
          <w:b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797" w:bottom="1440" w:left="1797" w:header="1020" w:footer="992" w:gutter="0"/>
          <w:pgNumType w:fmt="upperRoman" w:start="1"/>
          <w:cols w:space="425" w:num="1"/>
          <w:docGrid w:type="lines" w:linePitch="312" w:charSpace="0"/>
        </w:sectPr>
      </w:pPr>
      <w:r>
        <w:rPr>
          <w:rFonts w:cs="Times New Roman"/>
          <w:b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〇</w:t>
      </w:r>
      <w:r>
        <w:rPr>
          <w:rFonts w:cs="Times New Roman"/>
          <w:b/>
          <w:sz w:val="32"/>
          <w:szCs w:val="32"/>
        </w:rPr>
        <w:t>二</w:t>
      </w:r>
      <w:r>
        <w:rPr>
          <w:rFonts w:hint="eastAsia" w:cs="Times New Roman"/>
          <w:b/>
          <w:sz w:val="32"/>
          <w:szCs w:val="32"/>
          <w:lang w:val="en-US" w:eastAsia="zh-CN"/>
        </w:rPr>
        <w:t>六</w:t>
      </w:r>
      <w:r>
        <w:rPr>
          <w:rFonts w:cs="Times New Roman"/>
          <w:b/>
          <w:sz w:val="32"/>
          <w:szCs w:val="32"/>
        </w:rPr>
        <w:t>年</w:t>
      </w:r>
      <w:r>
        <w:rPr>
          <w:rFonts w:hint="eastAsia" w:cs="Times New Roman"/>
          <w:b/>
          <w:sz w:val="32"/>
          <w:szCs w:val="32"/>
          <w:lang w:val="en-US" w:eastAsia="zh-CN"/>
        </w:rPr>
        <w:t>四</w:t>
      </w:r>
      <w:r>
        <w:rPr>
          <w:rFonts w:cs="Times New Roman"/>
          <w:b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为加强龙川县水坑河饮用水源地保护，保障饮用水安全，按照有关法律法规、标准规范以及广东省有关要求，结合龙川县水坑河饮用水源保护区实际情况，制定本方案。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both"/>
        <w:textAlignment w:val="auto"/>
        <w:rPr>
          <w:rFonts w:hint="eastAsia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一、饮用水水源保护区调整依据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（1）《中华人民共和国环境保护法》、《中华人民共和国水污染防治法》、《中华人民共和国水法》、《饮用水水源保护区污染防治管理规定》、《广东省水污染防治条例》等法律法规规章。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（2）《饮用水水源保护区划分技术规范》（HJ 338-2018）、《地表水环境质量标准》（GB 3838-2002）、《生活饮用水卫生标准》（GB 5749-2022）等标准规范。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both"/>
        <w:textAlignment w:val="auto"/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二、饮用水水源保护区调整方案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调整结果如下表所示：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</w:pPr>
      <w:r>
        <w:rPr>
          <w:rFonts w:hint="eastAsia" w:cs="Times New Roman"/>
          <w:b/>
          <w:bCs/>
          <w:szCs w:val="28"/>
        </w:rPr>
        <w:t>表1  龙川县</w:t>
      </w:r>
      <w:r>
        <w:rPr>
          <w:rFonts w:hint="eastAsia" w:cs="Times New Roman"/>
          <w:b/>
          <w:bCs/>
          <w:szCs w:val="28"/>
          <w:lang w:val="en-US" w:eastAsia="zh-CN"/>
        </w:rPr>
        <w:t>水坑河</w:t>
      </w:r>
      <w:r>
        <w:rPr>
          <w:rFonts w:hint="eastAsia" w:cs="Times New Roman"/>
          <w:b/>
          <w:bCs/>
          <w:szCs w:val="28"/>
        </w:rPr>
        <w:t>饮用水源保护区</w:t>
      </w:r>
      <w:r>
        <w:rPr>
          <w:rFonts w:hint="eastAsia" w:cs="Times New Roman"/>
          <w:b/>
          <w:bCs/>
          <w:szCs w:val="28"/>
          <w:lang w:val="en-US" w:eastAsia="zh-CN"/>
        </w:rPr>
        <w:t>调整</w:t>
      </w:r>
      <w:r>
        <w:rPr>
          <w:rFonts w:hint="eastAsia" w:cs="Times New Roman"/>
          <w:b/>
          <w:bCs/>
          <w:szCs w:val="28"/>
        </w:rPr>
        <w:t>方案</w:t>
      </w:r>
    </w:p>
    <w:tbl>
      <w:tblPr>
        <w:tblStyle w:val="15"/>
        <w:tblW w:w="51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"/>
        <w:gridCol w:w="768"/>
        <w:gridCol w:w="406"/>
        <w:gridCol w:w="593"/>
        <w:gridCol w:w="561"/>
        <w:gridCol w:w="528"/>
        <w:gridCol w:w="1354"/>
        <w:gridCol w:w="1354"/>
        <w:gridCol w:w="1"/>
        <w:gridCol w:w="1353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215" w:type="pct"/>
            <w:vMerge w:val="restart"/>
            <w:noWrap/>
            <w:vAlign w:val="center"/>
          </w:tcPr>
          <w:p>
            <w:pPr>
              <w:pStyle w:val="37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市</w:t>
            </w:r>
          </w:p>
        </w:tc>
        <w:tc>
          <w:tcPr>
            <w:tcW w:w="444" w:type="pct"/>
            <w:vMerge w:val="restart"/>
            <w:noWrap/>
            <w:vAlign w:val="center"/>
          </w:tcPr>
          <w:p>
            <w:pPr>
              <w:pStyle w:val="37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区（县）</w:t>
            </w:r>
          </w:p>
        </w:tc>
        <w:tc>
          <w:tcPr>
            <w:tcW w:w="234" w:type="pct"/>
            <w:vMerge w:val="restart"/>
            <w:noWrap/>
            <w:vAlign w:val="center"/>
          </w:tcPr>
          <w:p>
            <w:pPr>
              <w:pStyle w:val="37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镇</w:t>
            </w:r>
          </w:p>
        </w:tc>
        <w:tc>
          <w:tcPr>
            <w:tcW w:w="342" w:type="pct"/>
            <w:vMerge w:val="restart"/>
            <w:noWrap/>
            <w:vAlign w:val="center"/>
          </w:tcPr>
          <w:p>
            <w:pPr>
              <w:pStyle w:val="37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324" w:type="pct"/>
            <w:vMerge w:val="restart"/>
            <w:noWrap/>
            <w:vAlign w:val="center"/>
          </w:tcPr>
          <w:p>
            <w:pPr>
              <w:pStyle w:val="37"/>
              <w:rPr>
                <w:b/>
                <w:bCs/>
              </w:rPr>
            </w:pPr>
            <w:r>
              <w:rPr>
                <w:b/>
                <w:bCs/>
              </w:rPr>
              <w:t>级别</w:t>
            </w:r>
          </w:p>
        </w:tc>
        <w:tc>
          <w:tcPr>
            <w:tcW w:w="305" w:type="pct"/>
            <w:vMerge w:val="restart"/>
            <w:noWrap/>
            <w:vAlign w:val="center"/>
          </w:tcPr>
          <w:p>
            <w:pPr>
              <w:pStyle w:val="37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水质目标</w:t>
            </w:r>
          </w:p>
        </w:tc>
        <w:tc>
          <w:tcPr>
            <w:tcW w:w="1566" w:type="pct"/>
            <w:gridSpan w:val="3"/>
            <w:noWrap/>
            <w:vAlign w:val="center"/>
          </w:tcPr>
          <w:p>
            <w:pPr>
              <w:pStyle w:val="37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调整前</w:t>
            </w:r>
          </w:p>
        </w:tc>
        <w:tc>
          <w:tcPr>
            <w:tcW w:w="1566" w:type="pct"/>
            <w:gridSpan w:val="2"/>
            <w:vAlign w:val="center"/>
          </w:tcPr>
          <w:p>
            <w:pPr>
              <w:pStyle w:val="37"/>
              <w:ind w:firstLine="0" w:firstLineChars="0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215" w:type="pct"/>
            <w:vMerge w:val="continue"/>
            <w:noWrap/>
            <w:vAlign w:val="center"/>
          </w:tcPr>
          <w:p>
            <w:pPr>
              <w:pStyle w:val="37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444" w:type="pct"/>
            <w:vMerge w:val="continue"/>
            <w:noWrap/>
            <w:vAlign w:val="center"/>
          </w:tcPr>
          <w:p>
            <w:pPr>
              <w:pStyle w:val="37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234" w:type="pct"/>
            <w:vMerge w:val="continue"/>
            <w:noWrap/>
            <w:vAlign w:val="center"/>
          </w:tcPr>
          <w:p>
            <w:pPr>
              <w:pStyle w:val="37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342" w:type="pct"/>
            <w:vMerge w:val="continue"/>
            <w:noWrap/>
            <w:vAlign w:val="center"/>
          </w:tcPr>
          <w:p>
            <w:pPr>
              <w:pStyle w:val="37"/>
              <w:rPr>
                <w:b/>
                <w:bCs/>
              </w:rPr>
            </w:pPr>
          </w:p>
        </w:tc>
        <w:tc>
          <w:tcPr>
            <w:tcW w:w="324" w:type="pct"/>
            <w:vMerge w:val="continue"/>
            <w:noWrap/>
            <w:vAlign w:val="center"/>
          </w:tcPr>
          <w:p>
            <w:pPr>
              <w:pStyle w:val="37"/>
              <w:rPr>
                <w:b/>
                <w:bCs/>
              </w:rPr>
            </w:pPr>
          </w:p>
        </w:tc>
        <w:tc>
          <w:tcPr>
            <w:tcW w:w="305" w:type="pct"/>
            <w:vMerge w:val="continue"/>
            <w:noWrap/>
            <w:vAlign w:val="center"/>
          </w:tcPr>
          <w:p>
            <w:pPr>
              <w:pStyle w:val="37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782" w:type="pct"/>
            <w:noWrap/>
            <w:vAlign w:val="center"/>
          </w:tcPr>
          <w:p>
            <w:pPr>
              <w:pStyle w:val="37"/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水域</w:t>
            </w:r>
          </w:p>
        </w:tc>
        <w:tc>
          <w:tcPr>
            <w:tcW w:w="782" w:type="pct"/>
            <w:noWrap/>
            <w:vAlign w:val="center"/>
          </w:tcPr>
          <w:p>
            <w:pPr>
              <w:pStyle w:val="37"/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陆域</w:t>
            </w:r>
          </w:p>
        </w:tc>
        <w:tc>
          <w:tcPr>
            <w:tcW w:w="782" w:type="pct"/>
            <w:gridSpan w:val="2"/>
            <w:vAlign w:val="center"/>
          </w:tcPr>
          <w:p>
            <w:pPr>
              <w:pStyle w:val="37"/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水域</w:t>
            </w:r>
          </w:p>
        </w:tc>
        <w:tc>
          <w:tcPr>
            <w:tcW w:w="784" w:type="pct"/>
            <w:vAlign w:val="center"/>
          </w:tcPr>
          <w:p>
            <w:pPr>
              <w:pStyle w:val="37"/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5" w:type="pct"/>
            <w:vMerge w:val="restart"/>
            <w:noWrap/>
            <w:vAlign w:val="center"/>
          </w:tcPr>
          <w:p>
            <w:pPr>
              <w:pStyle w:val="37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河源市</w:t>
            </w:r>
          </w:p>
        </w:tc>
        <w:tc>
          <w:tcPr>
            <w:tcW w:w="444" w:type="pct"/>
            <w:vMerge w:val="restart"/>
            <w:noWrap/>
            <w:vAlign w:val="center"/>
          </w:tcPr>
          <w:p>
            <w:pPr>
              <w:pStyle w:val="37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龙川县</w:t>
            </w:r>
          </w:p>
        </w:tc>
        <w:tc>
          <w:tcPr>
            <w:tcW w:w="234" w:type="pct"/>
            <w:vMerge w:val="restart"/>
            <w:noWrap/>
            <w:vAlign w:val="center"/>
          </w:tcPr>
          <w:p>
            <w:pPr>
              <w:pStyle w:val="37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老隆镇</w:t>
            </w:r>
          </w:p>
        </w:tc>
        <w:tc>
          <w:tcPr>
            <w:tcW w:w="342" w:type="pct"/>
            <w:vMerge w:val="restart"/>
            <w:noWrap/>
            <w:vAlign w:val="center"/>
          </w:tcPr>
          <w:p>
            <w:pPr>
              <w:pStyle w:val="37"/>
            </w:pPr>
            <w:r>
              <w:t>龙川县</w:t>
            </w:r>
            <w:r>
              <w:rPr>
                <w:rFonts w:hint="eastAsia"/>
                <w:lang w:val="en-US" w:eastAsia="zh-CN"/>
              </w:rPr>
              <w:t>水坑河</w:t>
            </w:r>
            <w:r>
              <w:t>饮用水源保护区</w:t>
            </w:r>
          </w:p>
        </w:tc>
        <w:tc>
          <w:tcPr>
            <w:tcW w:w="324" w:type="pct"/>
            <w:noWrap/>
            <w:vAlign w:val="center"/>
          </w:tcPr>
          <w:p>
            <w:pPr>
              <w:pStyle w:val="37"/>
            </w:pPr>
            <w:r>
              <w:t>一级保护区</w:t>
            </w:r>
          </w:p>
        </w:tc>
        <w:tc>
          <w:tcPr>
            <w:tcW w:w="305" w:type="pct"/>
            <w:vAlign w:val="center"/>
          </w:tcPr>
          <w:p>
            <w:pPr>
              <w:pStyle w:val="37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Ⅱ类</w:t>
            </w:r>
          </w:p>
        </w:tc>
        <w:tc>
          <w:tcPr>
            <w:tcW w:w="782" w:type="pct"/>
            <w:vAlign w:val="center"/>
          </w:tcPr>
          <w:p>
            <w:pPr>
              <w:pStyle w:val="37"/>
            </w:pPr>
            <w:r>
              <w:rPr>
                <w:rFonts w:hint="eastAsia"/>
                <w:lang w:val="en-US" w:eastAsia="zh-CN"/>
              </w:rPr>
              <w:t>龙川县自来水公司水坑河迹龙潭吸水点上游1000m至吸水点下游500m河段的水域</w:t>
            </w:r>
          </w:p>
        </w:tc>
        <w:tc>
          <w:tcPr>
            <w:tcW w:w="782" w:type="pct"/>
            <w:vAlign w:val="center"/>
          </w:tcPr>
          <w:p>
            <w:pPr>
              <w:pStyle w:val="37"/>
            </w:pPr>
            <w:r>
              <w:rPr>
                <w:rFonts w:hint="eastAsia"/>
                <w:lang w:val="en-US" w:eastAsia="zh-CN"/>
              </w:rPr>
              <w:t>相应一级保护区水域两岸河堤向陆纵深500m的陆域范围</w:t>
            </w:r>
          </w:p>
        </w:tc>
        <w:tc>
          <w:tcPr>
            <w:tcW w:w="782" w:type="pct"/>
            <w:gridSpan w:val="2"/>
            <w:vAlign w:val="center"/>
          </w:tcPr>
          <w:p>
            <w:pPr>
              <w:pStyle w:val="37"/>
            </w:pPr>
            <w:r>
              <w:rPr>
                <w:rFonts w:hint="eastAsia"/>
                <w:lang w:val="en-US" w:eastAsia="zh-CN"/>
              </w:rPr>
              <w:t>龙川县自来水公司水坑河迹龙潭吸水点上游1000m至下游拦河坝</w:t>
            </w:r>
          </w:p>
        </w:tc>
        <w:tc>
          <w:tcPr>
            <w:tcW w:w="784" w:type="pct"/>
            <w:vAlign w:val="center"/>
          </w:tcPr>
          <w:p>
            <w:pPr>
              <w:pStyle w:val="37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相应一级保护区水域外的集水区域陆域范围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5" w:type="pct"/>
            <w:vMerge w:val="continue"/>
            <w:vAlign w:val="center"/>
          </w:tcPr>
          <w:p>
            <w:pPr>
              <w:pStyle w:val="37"/>
            </w:pPr>
          </w:p>
        </w:tc>
        <w:tc>
          <w:tcPr>
            <w:tcW w:w="444" w:type="pct"/>
            <w:vMerge w:val="continue"/>
            <w:vAlign w:val="center"/>
          </w:tcPr>
          <w:p>
            <w:pPr>
              <w:pStyle w:val="37"/>
            </w:pPr>
          </w:p>
        </w:tc>
        <w:tc>
          <w:tcPr>
            <w:tcW w:w="234" w:type="pct"/>
            <w:vMerge w:val="continue"/>
            <w:vAlign w:val="center"/>
          </w:tcPr>
          <w:p>
            <w:pPr>
              <w:pStyle w:val="37"/>
            </w:pPr>
          </w:p>
        </w:tc>
        <w:tc>
          <w:tcPr>
            <w:tcW w:w="342" w:type="pct"/>
            <w:vMerge w:val="continue"/>
            <w:vAlign w:val="center"/>
          </w:tcPr>
          <w:p>
            <w:pPr>
              <w:pStyle w:val="37"/>
            </w:pPr>
          </w:p>
        </w:tc>
        <w:tc>
          <w:tcPr>
            <w:tcW w:w="324" w:type="pct"/>
            <w:noWrap/>
            <w:vAlign w:val="center"/>
          </w:tcPr>
          <w:p>
            <w:pPr>
              <w:pStyle w:val="37"/>
            </w:pPr>
            <w:r>
              <w:t>二级保护区</w:t>
            </w:r>
          </w:p>
        </w:tc>
        <w:tc>
          <w:tcPr>
            <w:tcW w:w="305" w:type="pct"/>
            <w:vAlign w:val="center"/>
          </w:tcPr>
          <w:p>
            <w:pPr>
              <w:pStyle w:val="37"/>
            </w:pPr>
            <w:r>
              <w:rPr>
                <w:rFonts w:hint="eastAsia"/>
                <w:lang w:val="en-US" w:eastAsia="zh-CN"/>
              </w:rPr>
              <w:t>Ⅱ类</w:t>
            </w:r>
          </w:p>
        </w:tc>
        <w:tc>
          <w:tcPr>
            <w:tcW w:w="782" w:type="pct"/>
            <w:vAlign w:val="center"/>
          </w:tcPr>
          <w:p>
            <w:pPr>
              <w:pStyle w:val="37"/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一级保护区上游边界上溯500m河段的水域</w:t>
            </w:r>
          </w:p>
        </w:tc>
        <w:tc>
          <w:tcPr>
            <w:tcW w:w="782" w:type="pct"/>
            <w:vAlign w:val="center"/>
          </w:tcPr>
          <w:p>
            <w:pPr>
              <w:pStyle w:val="37"/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相应二级保护区水域两岸河堤向陆纵深300m的陆域范围</w:t>
            </w:r>
          </w:p>
        </w:tc>
        <w:tc>
          <w:tcPr>
            <w:tcW w:w="782" w:type="pct"/>
            <w:gridSpan w:val="2"/>
            <w:vAlign w:val="center"/>
          </w:tcPr>
          <w:p>
            <w:pPr>
              <w:pStyle w:val="37"/>
            </w:pPr>
            <w:r>
              <w:rPr>
                <w:rFonts w:hint="eastAsia"/>
                <w:lang w:val="en-US" w:eastAsia="zh-CN"/>
              </w:rPr>
              <w:t>不变</w:t>
            </w:r>
          </w:p>
        </w:tc>
        <w:tc>
          <w:tcPr>
            <w:tcW w:w="784" w:type="pct"/>
            <w:vAlign w:val="center"/>
          </w:tcPr>
          <w:p>
            <w:pPr>
              <w:pStyle w:val="37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相应二级保护区水域外的</w:t>
            </w:r>
            <w:bookmarkStart w:id="2" w:name="_GoBack"/>
            <w:bookmarkEnd w:id="2"/>
            <w:r>
              <w:rPr>
                <w:rFonts w:hint="eastAsia"/>
                <w:color w:val="auto"/>
                <w:lang w:val="en-US" w:eastAsia="zh-CN"/>
              </w:rPr>
              <w:t>集水区域陆域范围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cs="Times New Roman"/>
          <w:b/>
          <w:bCs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cs="Times New Roman"/>
          <w:b/>
          <w:bCs/>
          <w:szCs w:val="28"/>
        </w:rPr>
      </w:pPr>
      <w:r>
        <w:rPr>
          <w:rFonts w:hint="eastAsia" w:cs="Times New Roman"/>
          <w:b/>
          <w:bCs/>
          <w:szCs w:val="28"/>
        </w:rPr>
        <w:t>表2  龙川县</w:t>
      </w:r>
      <w:r>
        <w:rPr>
          <w:rFonts w:hint="eastAsia" w:cs="Times New Roman"/>
          <w:b/>
          <w:bCs/>
          <w:szCs w:val="28"/>
          <w:lang w:val="en-US" w:eastAsia="zh-CN"/>
        </w:rPr>
        <w:t>水坑河</w:t>
      </w:r>
      <w:r>
        <w:rPr>
          <w:rFonts w:hint="eastAsia" w:cs="Times New Roman"/>
          <w:b/>
          <w:bCs/>
          <w:szCs w:val="28"/>
        </w:rPr>
        <w:t>饮用水源保护区</w:t>
      </w:r>
      <w:r>
        <w:rPr>
          <w:rFonts w:hint="eastAsia" w:cs="Times New Roman"/>
          <w:b/>
          <w:bCs/>
          <w:szCs w:val="28"/>
          <w:lang w:val="en-US" w:eastAsia="zh-CN"/>
        </w:rPr>
        <w:t>调整</w:t>
      </w:r>
      <w:r>
        <w:rPr>
          <w:rFonts w:hint="eastAsia" w:cs="Times New Roman"/>
          <w:b/>
          <w:bCs/>
          <w:szCs w:val="28"/>
        </w:rPr>
        <w:t>方案拐点坐标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463"/>
        <w:gridCol w:w="3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名称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经度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纬度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A1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115.2584564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24.08623773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A2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115.2594835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24.08808783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A3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115.2606798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24.08942212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A4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115.2610123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24.0900198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A5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115.2642728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24.09253416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A6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115.2669134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24.09364766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A7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115.2728322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24.09236024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A9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115.2730643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24.08983604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A10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115.2680961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24.08432206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A11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115.2627122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24.08414494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A12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115.2585382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24.08351019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B1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115.2677741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24.08104452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B2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115.2650306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24.08008219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B3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115.2632861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24.07816621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B4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115.2603544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24.07677847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B5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115.2591489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24.07866093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B6</w:t>
            </w:r>
          </w:p>
        </w:tc>
        <w:tc>
          <w:tcPr>
            <w:tcW w:w="3463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115.2597096</w:t>
            </w:r>
          </w:p>
        </w:tc>
        <w:tc>
          <w:tcPr>
            <w:tcW w:w="3250" w:type="dxa"/>
            <w:shd w:val="clear" w:color="auto" w:fill="auto"/>
            <w:noWrap/>
            <w:vAlign w:val="center"/>
          </w:tcPr>
          <w:p>
            <w:pPr>
              <w:pStyle w:val="3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24.08083436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cs="Times New Roman"/>
          <w:b/>
          <w:bCs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cs="Times New Roman"/>
          <w:b/>
          <w:bCs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cs="Times New Roman"/>
          <w:b/>
          <w:bCs/>
          <w:szCs w:val="28"/>
        </w:rPr>
        <w:sectPr>
          <w:headerReference r:id="rId11" w:type="default"/>
          <w:footerReference r:id="rId12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81" w:charSpace="0"/>
        </w:sectPr>
      </w:pPr>
    </w:p>
    <w:p>
      <w:pPr>
        <w:spacing w:line="240" w:lineRule="auto"/>
        <w:ind w:left="0" w:leftChars="0" w:firstLine="0" w:firstLineChars="0"/>
        <w:jc w:val="center"/>
        <w:rPr>
          <w:rFonts w:hint="eastAsia" w:eastAsia="仿宋_GB2312"/>
          <w:sz w:val="24"/>
          <w:szCs w:val="20"/>
          <w:lang w:eastAsia="zh-CN"/>
        </w:rPr>
      </w:pPr>
      <w:r>
        <w:rPr>
          <w:rFonts w:hint="eastAsia" w:eastAsia="仿宋_GB2312"/>
          <w:sz w:val="24"/>
          <w:szCs w:val="20"/>
          <w:lang w:eastAsia="zh-CN"/>
        </w:rPr>
        <w:drawing>
          <wp:inline distT="0" distB="0" distL="114300" distR="114300">
            <wp:extent cx="7339330" cy="5506720"/>
            <wp:effectExtent l="0" t="0" r="4445" b="8255"/>
            <wp:docPr id="2" name="图片 2" descr="微信图片_20260522152734_3098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522152734_3098_288"/>
                    <pic:cNvPicPr>
                      <a:picLocks noChangeAspect="1"/>
                    </pic:cNvPicPr>
                  </pic:nvPicPr>
                  <pic:blipFill>
                    <a:blip r:embed="rId14"/>
                    <a:srcRect l="1554" t="1009" r="6374" b="1353"/>
                    <a:stretch>
                      <a:fillRect/>
                    </a:stretch>
                  </pic:blipFill>
                  <pic:spPr>
                    <a:xfrm>
                      <a:off x="0" y="0"/>
                      <a:ext cx="7339330" cy="550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left="0" w:leftChars="0" w:firstLine="0" w:firstLineChars="0"/>
        <w:jc w:val="center"/>
        <w:rPr>
          <w:b/>
          <w:bCs/>
        </w:rPr>
      </w:pPr>
      <w:r>
        <w:rPr>
          <w:rFonts w:hint="eastAsia"/>
          <w:b/>
          <w:bCs/>
          <w:sz w:val="24"/>
          <w:szCs w:val="20"/>
        </w:rPr>
        <w:t xml:space="preserve">图1 </w:t>
      </w:r>
      <w:r>
        <w:rPr>
          <w:rFonts w:hint="eastAsia" w:cs="Times New Roman"/>
          <w:b/>
          <w:bCs/>
          <w:sz w:val="24"/>
          <w:szCs w:val="24"/>
        </w:rPr>
        <w:t>龙川县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水坑河</w:t>
      </w:r>
      <w:r>
        <w:rPr>
          <w:rFonts w:hint="eastAsia" w:cs="Times New Roman"/>
          <w:b/>
          <w:bCs/>
          <w:sz w:val="24"/>
          <w:szCs w:val="24"/>
        </w:rPr>
        <w:t>饮用水源保护区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调整</w:t>
      </w:r>
      <w:r>
        <w:rPr>
          <w:rFonts w:hint="eastAsia" w:cs="Times New Roman"/>
          <w:b/>
          <w:bCs/>
          <w:sz w:val="24"/>
          <w:szCs w:val="24"/>
        </w:rPr>
        <w:t>方案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30"/>
    <w:rsid w:val="00017130"/>
    <w:rsid w:val="00062306"/>
    <w:rsid w:val="000E7B1F"/>
    <w:rsid w:val="001B692F"/>
    <w:rsid w:val="002909D6"/>
    <w:rsid w:val="003E2128"/>
    <w:rsid w:val="003F1EA8"/>
    <w:rsid w:val="00557AEA"/>
    <w:rsid w:val="005B511D"/>
    <w:rsid w:val="00776111"/>
    <w:rsid w:val="00911D7C"/>
    <w:rsid w:val="00914E2D"/>
    <w:rsid w:val="00934ED5"/>
    <w:rsid w:val="009A152B"/>
    <w:rsid w:val="00A01C77"/>
    <w:rsid w:val="00AD53BD"/>
    <w:rsid w:val="00B3420B"/>
    <w:rsid w:val="00BF1E6F"/>
    <w:rsid w:val="00D35957"/>
    <w:rsid w:val="00DD6EBD"/>
    <w:rsid w:val="02070CCA"/>
    <w:rsid w:val="02BA21E0"/>
    <w:rsid w:val="034060C4"/>
    <w:rsid w:val="048D5126"/>
    <w:rsid w:val="05FE4F25"/>
    <w:rsid w:val="075C3866"/>
    <w:rsid w:val="07912AF6"/>
    <w:rsid w:val="091E5277"/>
    <w:rsid w:val="098D7D07"/>
    <w:rsid w:val="09D122E9"/>
    <w:rsid w:val="09EA17F2"/>
    <w:rsid w:val="0A1C6BA3"/>
    <w:rsid w:val="0CB33F28"/>
    <w:rsid w:val="0E750F80"/>
    <w:rsid w:val="0E8F5CD7"/>
    <w:rsid w:val="112371A2"/>
    <w:rsid w:val="11437F75"/>
    <w:rsid w:val="11D434DA"/>
    <w:rsid w:val="14C33AB5"/>
    <w:rsid w:val="177C760C"/>
    <w:rsid w:val="18AB63FB"/>
    <w:rsid w:val="19EC0A79"/>
    <w:rsid w:val="19FD0FF7"/>
    <w:rsid w:val="1C1A25A1"/>
    <w:rsid w:val="1CA23671"/>
    <w:rsid w:val="1CC26B08"/>
    <w:rsid w:val="237D7BEA"/>
    <w:rsid w:val="2513335E"/>
    <w:rsid w:val="254865FB"/>
    <w:rsid w:val="27E40FE2"/>
    <w:rsid w:val="282D220E"/>
    <w:rsid w:val="30F229C1"/>
    <w:rsid w:val="335B4CF6"/>
    <w:rsid w:val="33C83BCA"/>
    <w:rsid w:val="34473024"/>
    <w:rsid w:val="346F60D7"/>
    <w:rsid w:val="36484E32"/>
    <w:rsid w:val="36500988"/>
    <w:rsid w:val="38DF006B"/>
    <w:rsid w:val="3A3B7A62"/>
    <w:rsid w:val="3A3E0F2E"/>
    <w:rsid w:val="3ECD05CA"/>
    <w:rsid w:val="3EEE3679"/>
    <w:rsid w:val="3F9B2476"/>
    <w:rsid w:val="3FF027C2"/>
    <w:rsid w:val="421877CE"/>
    <w:rsid w:val="423821FE"/>
    <w:rsid w:val="46521A6E"/>
    <w:rsid w:val="497F6965"/>
    <w:rsid w:val="4A0D3F70"/>
    <w:rsid w:val="4ACF6AE0"/>
    <w:rsid w:val="4B0C247A"/>
    <w:rsid w:val="4CBB7922"/>
    <w:rsid w:val="4CD07C03"/>
    <w:rsid w:val="4DE66FB2"/>
    <w:rsid w:val="4E7E543D"/>
    <w:rsid w:val="50130A4A"/>
    <w:rsid w:val="50CD0EEC"/>
    <w:rsid w:val="51F6353C"/>
    <w:rsid w:val="525420E5"/>
    <w:rsid w:val="54F24B15"/>
    <w:rsid w:val="57A23F4A"/>
    <w:rsid w:val="5C5B01E8"/>
    <w:rsid w:val="5DE3706A"/>
    <w:rsid w:val="5E190CDE"/>
    <w:rsid w:val="5F3E6C4E"/>
    <w:rsid w:val="687C4343"/>
    <w:rsid w:val="69085BD7"/>
    <w:rsid w:val="6989248F"/>
    <w:rsid w:val="69BD10B7"/>
    <w:rsid w:val="69D16911"/>
    <w:rsid w:val="6FA7439C"/>
    <w:rsid w:val="70643898"/>
    <w:rsid w:val="707E2C63"/>
    <w:rsid w:val="70D54F38"/>
    <w:rsid w:val="713779A1"/>
    <w:rsid w:val="71AC3EEB"/>
    <w:rsid w:val="71B20DD6"/>
    <w:rsid w:val="770F061E"/>
    <w:rsid w:val="78411105"/>
    <w:rsid w:val="7ACF0C4A"/>
    <w:rsid w:val="7DFA7D8C"/>
    <w:rsid w:val="7F544E27"/>
    <w:rsid w:val="7FC8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120" w:after="120"/>
      <w:outlineLvl w:val="0"/>
    </w:pPr>
    <w:rPr>
      <w:rFonts w:cstheme="majorBidi"/>
      <w:b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120" w:after="120"/>
      <w:outlineLvl w:val="1"/>
    </w:pPr>
    <w:rPr>
      <w:rFonts w:cstheme="majorBidi"/>
      <w:b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20" w:after="120"/>
      <w:outlineLvl w:val="2"/>
    </w:pPr>
    <w:rPr>
      <w:rFonts w:cstheme="majorBidi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2 字符"/>
    <w:basedOn w:val="16"/>
    <w:link w:val="3"/>
    <w:qFormat/>
    <w:uiPriority w:val="9"/>
    <w:rPr>
      <w:rFonts w:cstheme="majorBidi"/>
      <w:b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cstheme="majorBidi"/>
      <w:b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customStyle="1" w:styleId="19">
    <w:name w:val="标题 3 字符"/>
    <w:basedOn w:val="16"/>
    <w:link w:val="4"/>
    <w:qFormat/>
    <w:uiPriority w:val="9"/>
    <w:rPr>
      <w:rFonts w:cstheme="majorBidi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cstheme="minorBidi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cstheme="minorBidi"/>
      <w:sz w:val="18"/>
      <w:szCs w:val="18"/>
    </w:rPr>
  </w:style>
  <w:style w:type="paragraph" w:customStyle="1" w:styleId="37">
    <w:name w:val="表格格式"/>
    <w:basedOn w:val="1"/>
    <w:link w:val="38"/>
    <w:qFormat/>
    <w:uiPriority w:val="0"/>
    <w:pPr>
      <w:spacing w:line="240" w:lineRule="auto"/>
      <w:ind w:firstLine="0" w:firstLineChars="0"/>
      <w:jc w:val="center"/>
    </w:pPr>
    <w:rPr>
      <w:rFonts w:cs="Times New Roman"/>
      <w:sz w:val="24"/>
      <w:szCs w:val="24"/>
    </w:rPr>
  </w:style>
  <w:style w:type="character" w:customStyle="1" w:styleId="38">
    <w:name w:val="表格格式 Char"/>
    <w:basedOn w:val="16"/>
    <w:link w:val="37"/>
    <w:qFormat/>
    <w:uiPriority w:val="0"/>
    <w:rPr>
      <w:sz w:val="24"/>
      <w:szCs w:val="24"/>
    </w:rPr>
  </w:style>
  <w:style w:type="character" w:customStyle="1" w:styleId="39">
    <w:name w:val="font61"/>
    <w:basedOn w:val="1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679</Words>
  <Characters>1020</Characters>
  <Lines>52</Lines>
  <Paragraphs>54</Paragraphs>
  <TotalTime>0</TotalTime>
  <ScaleCrop>false</ScaleCrop>
  <LinksUpToDate>false</LinksUpToDate>
  <CharactersWithSpaces>1028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2025-06-03T07:02:00Z</dcterms:created>
  <dc:creator>吴孝情</dc:creator>
  <cp:lastModifiedBy>Administrator</cp:lastModifiedBy>
  <dcterms:modified xsi:type="dcterms:W3CDTF">2026-06-02T01:44:42Z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eyJoZGlkIjoiMjYyZmZlM2RiNzNkODYzMmRmMzE4MjFlOTcxMTVjYTIiLCJ1c2VySWQiOiIyMDA0MTI5NjQifQ==</vt:lpwstr>
  </property>
  <property fmtid="{D5CDD505-2E9C-101B-9397-08002B2CF9AE}" pid="3" name="KSOProductBuildVer">
    <vt:lpwstr>2052-11.8.2.11718</vt:lpwstr>
  </property>
  <property fmtid="{D5CDD505-2E9C-101B-9397-08002B2CF9AE}" pid="4" name="ICV">
    <vt:lpwstr>FB8F6C65320C47ED9320E1F7A41858AB_13</vt:lpwstr>
  </property>
</Properties>
</file>