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方正小标宋简体" w:hAnsi="宋体" w:eastAsia="方正小标宋简体" w:cs="宋体"/>
          <w:bCs/>
          <w:sz w:val="44"/>
          <w:szCs w:val="44"/>
          <w:lang w:eastAsia="zh-CN"/>
        </w:rPr>
      </w:pPr>
      <w:r>
        <w:rPr>
          <w:rFonts w:hint="eastAsia" w:ascii="仿宋" w:hAnsi="仿宋" w:eastAsia="仿宋" w:cs="仿宋"/>
          <w:b/>
          <w:kern w:val="1"/>
          <w:sz w:val="24"/>
          <w:szCs w:val="24"/>
          <w:shd w:val="clear" w:color="auto" w:fill="FFFFFF"/>
          <w:lang w:val="en-US" w:eastAsia="zh-CN"/>
        </w:rPr>
        <w:t>附件二</w:t>
      </w:r>
    </w:p>
    <w:p>
      <w:pPr>
        <w:snapToGrid w:val="0"/>
        <w:spacing w:line="600" w:lineRule="exact"/>
        <w:jc w:val="center"/>
        <w:rPr>
          <w:rFonts w:hint="eastAsia"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lang w:eastAsia="zh-CN"/>
        </w:rPr>
        <w:t>新建梅州至龙川铁路（龙川段）建设项目</w:t>
      </w:r>
      <w:r>
        <w:rPr>
          <w:rFonts w:hint="eastAsia" w:ascii="方正小标宋简体" w:hAnsi="宋体" w:eastAsia="方正小标宋简体" w:cs="宋体"/>
          <w:bCs/>
          <w:sz w:val="44"/>
          <w:szCs w:val="44"/>
        </w:rPr>
        <w:t>房屋征收补偿标准(征求意见稿)</w:t>
      </w:r>
    </w:p>
    <w:bookmarkEnd w:id="0"/>
    <w:p>
      <w:pPr>
        <w:spacing w:line="360" w:lineRule="auto"/>
        <w:rPr>
          <w:rFonts w:hint="eastAsia" w:ascii="仿宋_GB2312" w:hAnsi="仿宋_GB2312" w:eastAsia="仿宋_GB2312" w:cs="仿宋_GB2312"/>
          <w:sz w:val="28"/>
          <w:szCs w:val="28"/>
        </w:rPr>
      </w:pPr>
    </w:p>
    <w:p>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（一）地上建筑物</w:t>
      </w:r>
      <w:r>
        <w:rPr>
          <w:rFonts w:hint="eastAsia" w:ascii="仿宋_GB2312" w:hAnsi="仿宋_GB2312" w:eastAsia="仿宋_GB2312" w:cs="仿宋_GB2312"/>
          <w:b/>
          <w:bCs/>
          <w:sz w:val="28"/>
          <w:szCs w:val="28"/>
          <w:lang w:val="en-US" w:eastAsia="zh-CN"/>
        </w:rPr>
        <w:t>补偿</w:t>
      </w:r>
      <w:r>
        <w:rPr>
          <w:rFonts w:hint="eastAsia" w:ascii="仿宋_GB2312" w:hAnsi="仿宋_GB2312" w:eastAsia="仿宋_GB2312" w:cs="仿宋_GB2312"/>
          <w:b/>
          <w:bCs/>
          <w:sz w:val="28"/>
          <w:szCs w:val="28"/>
        </w:rPr>
        <w:t>标准表</w:t>
      </w:r>
    </w:p>
    <w:tbl>
      <w:tblPr>
        <w:tblStyle w:val="2"/>
        <w:tblW w:w="866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63"/>
        <w:gridCol w:w="3078"/>
        <w:gridCol w:w="810"/>
        <w:gridCol w:w="1425"/>
        <w:gridCol w:w="24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5"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项目名称</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单价（元）</w:t>
            </w:r>
          </w:p>
        </w:tc>
        <w:tc>
          <w:tcPr>
            <w:tcW w:w="24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框架结构</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w:t>
            </w:r>
          </w:p>
        </w:tc>
        <w:tc>
          <w:tcPr>
            <w:tcW w:w="2490" w:type="dxa"/>
            <w:tcBorders>
              <w:top w:val="single" w:color="auto" w:sz="8" w:space="0"/>
              <w:left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含基础、</w:t>
            </w:r>
            <w:r>
              <w:rPr>
                <w:rFonts w:hint="eastAsia" w:ascii="仿宋_GB2312" w:hAnsi="仿宋_GB2312" w:eastAsia="仿宋_GB2312" w:cs="仿宋_GB2312"/>
                <w:color w:val="auto"/>
                <w:sz w:val="28"/>
                <w:szCs w:val="28"/>
                <w:lang w:val="en-US" w:eastAsia="zh-CN"/>
              </w:rPr>
              <w:t>内外装修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混合结构</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00</w:t>
            </w:r>
          </w:p>
        </w:tc>
        <w:tc>
          <w:tcPr>
            <w:tcW w:w="2490" w:type="dxa"/>
            <w:tcBorders>
              <w:left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含基础、</w:t>
            </w:r>
            <w:r>
              <w:rPr>
                <w:rFonts w:hint="eastAsia" w:ascii="仿宋_GB2312" w:hAnsi="仿宋_GB2312" w:eastAsia="仿宋_GB2312" w:cs="仿宋_GB2312"/>
                <w:color w:val="auto"/>
                <w:sz w:val="28"/>
                <w:szCs w:val="28"/>
                <w:lang w:val="en-US" w:eastAsia="zh-CN"/>
              </w:rPr>
              <w:t>内外装修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（泥、红）砖木瓦结构</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750</w:t>
            </w:r>
          </w:p>
        </w:tc>
        <w:tc>
          <w:tcPr>
            <w:tcW w:w="2490" w:type="dxa"/>
            <w:tcBorders>
              <w:left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含基础、</w:t>
            </w:r>
            <w:r>
              <w:rPr>
                <w:rFonts w:hint="eastAsia" w:ascii="仿宋_GB2312" w:hAnsi="仿宋_GB2312" w:eastAsia="仿宋_GB2312" w:cs="仿宋_GB2312"/>
                <w:color w:val="auto"/>
                <w:sz w:val="28"/>
                <w:szCs w:val="28"/>
                <w:lang w:val="en-US" w:eastAsia="zh-CN"/>
              </w:rPr>
              <w:t>含装修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红砖铁皮（</w:t>
            </w:r>
            <w:r>
              <w:rPr>
                <w:rFonts w:hint="eastAsia" w:ascii="仿宋_GB2312" w:hAnsi="仿宋_GB2312" w:eastAsia="仿宋_GB2312" w:cs="仿宋_GB2312"/>
                <w:color w:val="auto"/>
                <w:sz w:val="28"/>
                <w:szCs w:val="28"/>
                <w:lang w:val="en-US" w:eastAsia="zh-CN"/>
              </w:rPr>
              <w:t>石棉</w:t>
            </w:r>
            <w:r>
              <w:rPr>
                <w:rFonts w:hint="eastAsia" w:ascii="仿宋_GB2312" w:hAnsi="仿宋_GB2312" w:eastAsia="仿宋_GB2312" w:cs="仿宋_GB2312"/>
                <w:color w:val="auto"/>
                <w:sz w:val="28"/>
                <w:szCs w:val="28"/>
              </w:rPr>
              <w:t>）瓦</w:t>
            </w:r>
          </w:p>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四周砌墙</w:t>
            </w:r>
            <w:r>
              <w:rPr>
                <w:rFonts w:hint="eastAsia" w:ascii="仿宋_GB2312" w:hAnsi="仿宋_GB2312" w:eastAsia="仿宋_GB2312" w:cs="仿宋_GB2312"/>
                <w:color w:val="auto"/>
                <w:sz w:val="28"/>
                <w:szCs w:val="28"/>
                <w:lang w:eastAsia="zh-CN"/>
              </w:rPr>
              <w:t>）</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50</w:t>
            </w:r>
          </w:p>
        </w:tc>
        <w:tc>
          <w:tcPr>
            <w:tcW w:w="2490" w:type="dxa"/>
            <w:tcBorders>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含基础、</w:t>
            </w:r>
            <w:r>
              <w:rPr>
                <w:rFonts w:hint="eastAsia" w:ascii="仿宋_GB2312" w:hAnsi="仿宋_GB2312" w:eastAsia="仿宋_GB2312" w:cs="仿宋_GB2312"/>
                <w:color w:val="auto"/>
                <w:sz w:val="28"/>
                <w:szCs w:val="28"/>
                <w:lang w:val="en-US" w:eastAsia="zh-CN"/>
              </w:rPr>
              <w:t>含装修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房屋拆迁占地安置</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1500</w:t>
            </w:r>
          </w:p>
        </w:tc>
        <w:tc>
          <w:tcPr>
            <w:tcW w:w="24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按房屋滴水占地面积计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8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07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房屋余坪安置</w:t>
            </w:r>
          </w:p>
        </w:tc>
        <w:tc>
          <w:tcPr>
            <w:tcW w:w="8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750</w:t>
            </w:r>
          </w:p>
        </w:tc>
        <w:tc>
          <w:tcPr>
            <w:tcW w:w="24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房屋余坪超房屋占地面积50%以上的按土地征收补偿</w:t>
            </w:r>
          </w:p>
        </w:tc>
      </w:tr>
    </w:tbl>
    <w:p>
      <w:pPr>
        <w:spacing w:line="360" w:lineRule="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备注：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上述各项预估值是指假设咨询对象在完全产权条件下的建筑物市场价值，各项均包含人工、材料、辅料等相关费用，未考虑成新率及扣除折旧。</w:t>
      </w:r>
    </w:p>
    <w:p>
      <w:pPr>
        <w:numPr>
          <w:ilvl w:val="-1"/>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2、以上建筑物均含普通装修，</w:t>
      </w:r>
      <w:r>
        <w:rPr>
          <w:rFonts w:hint="eastAsia" w:ascii="仿宋_GB2312" w:hAnsi="仿宋_GB2312" w:eastAsia="仿宋_GB2312" w:cs="仿宋_GB2312"/>
          <w:sz w:val="28"/>
          <w:szCs w:val="28"/>
        </w:rPr>
        <w:t>若装修档次不符按照评估公司现场评估为准。</w:t>
      </w: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）附属设施补偿标准</w:t>
      </w:r>
      <w:r>
        <w:rPr>
          <w:rFonts w:hint="eastAsia" w:ascii="仿宋_GB2312" w:hAnsi="仿宋_GB2312" w:eastAsia="仿宋_GB2312" w:cs="仿宋_GB2312"/>
          <w:b/>
          <w:bCs/>
          <w:sz w:val="28"/>
          <w:szCs w:val="28"/>
          <w:lang w:val="en-US" w:eastAsia="zh-CN"/>
        </w:rPr>
        <w:t>表</w:t>
      </w:r>
    </w:p>
    <w:tbl>
      <w:tblPr>
        <w:tblStyle w:val="2"/>
        <w:tblW w:w="9558" w:type="dxa"/>
        <w:tblInd w:w="191" w:type="dxa"/>
        <w:tblLayout w:type="autofit"/>
        <w:tblCellMar>
          <w:top w:w="0" w:type="dxa"/>
          <w:left w:w="108" w:type="dxa"/>
          <w:bottom w:w="0" w:type="dxa"/>
          <w:right w:w="108" w:type="dxa"/>
        </w:tblCellMar>
      </w:tblPr>
      <w:tblGrid>
        <w:gridCol w:w="828"/>
        <w:gridCol w:w="6597"/>
        <w:gridCol w:w="795"/>
        <w:gridCol w:w="1338"/>
      </w:tblGrid>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5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3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59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简易结构（红砖铁皮瓦）</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59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rPr>
              <w:t>简易棚房、房间、杂物间、栏舍</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0</w:t>
            </w:r>
            <w:r>
              <w:rPr>
                <w:rFonts w:hint="eastAsia" w:ascii="仿宋_GB2312" w:hAnsi="仿宋_GB2312" w:eastAsia="仿宋_GB2312" w:cs="仿宋_GB2312"/>
                <w:sz w:val="28"/>
                <w:szCs w:val="28"/>
              </w:rPr>
              <w:t>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5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简易养鸡场（竹木瓦结构、外墙围护砌墙不低于1M）</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100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5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标准养鸡场（砖木瓦结构、外墙围护砌墙不低于1M）</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200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59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养猪场（</w:t>
            </w:r>
            <w:r>
              <w:rPr>
                <w:rFonts w:hint="eastAsia" w:ascii="仿宋_GB2312" w:hAnsi="仿宋_GB2312" w:eastAsia="仿宋_GB2312" w:cs="仿宋_GB2312"/>
                <w:i w:val="0"/>
                <w:color w:val="000000"/>
                <w:kern w:val="2"/>
                <w:sz w:val="28"/>
                <w:szCs w:val="28"/>
                <w:u w:val="none"/>
                <w:lang w:val="en-US" w:eastAsia="zh-CN" w:bidi="ar-SA"/>
              </w:rPr>
              <w:t>砖木瓦结构、外墙围护砌墙不低于1M、水泥砂浆地面、水电设备齐全、排水排污设施配套</w:t>
            </w:r>
            <w:r>
              <w:rPr>
                <w:rFonts w:hint="eastAsia" w:ascii="仿宋_GB2312" w:hAnsi="仿宋_GB2312" w:eastAsia="仿宋_GB2312" w:cs="仿宋_GB2312"/>
                <w:i w:val="0"/>
                <w:color w:val="000000"/>
                <w:kern w:val="0"/>
                <w:sz w:val="28"/>
                <w:szCs w:val="28"/>
                <w:u w:val="none"/>
                <w:lang w:val="en-US" w:eastAsia="zh-CN" w:bidi="ar"/>
              </w:rPr>
              <w:t>）</w:t>
            </w:r>
          </w:p>
        </w:tc>
        <w:tc>
          <w:tcPr>
            <w:tcW w:w="7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350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59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养猪场（</w:t>
            </w:r>
            <w:r>
              <w:rPr>
                <w:rFonts w:hint="eastAsia" w:ascii="仿宋_GB2312" w:hAnsi="仿宋_GB2312" w:eastAsia="仿宋_GB2312" w:cs="仿宋_GB2312"/>
                <w:i w:val="0"/>
                <w:color w:val="000000"/>
                <w:kern w:val="2"/>
                <w:sz w:val="28"/>
                <w:szCs w:val="28"/>
                <w:u w:val="none"/>
                <w:lang w:val="en-US" w:eastAsia="zh-CN" w:bidi="ar-SA"/>
              </w:rPr>
              <w:t>砖木瓦结构、外墙全砌砖围护、水泥砂浆地面、水电设备齐全、排水排污设施配套</w:t>
            </w:r>
            <w:r>
              <w:rPr>
                <w:rFonts w:hint="eastAsia" w:ascii="仿宋_GB2312" w:hAnsi="仿宋_GB2312" w:eastAsia="仿宋_GB2312" w:cs="仿宋_GB2312"/>
                <w:i w:val="0"/>
                <w:color w:val="000000"/>
                <w:kern w:val="0"/>
                <w:sz w:val="28"/>
                <w:szCs w:val="28"/>
                <w:u w:val="none"/>
                <w:lang w:val="en-US" w:eastAsia="zh-CN" w:bidi="ar"/>
              </w:rPr>
              <w:t>）</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500</w:t>
            </w:r>
          </w:p>
        </w:tc>
      </w:tr>
      <w:tr>
        <w:tblPrEx>
          <w:tblCellMar>
            <w:top w:w="0" w:type="dxa"/>
            <w:left w:w="108" w:type="dxa"/>
            <w:bottom w:w="0" w:type="dxa"/>
            <w:right w:w="108" w:type="dxa"/>
          </w:tblCellMar>
        </w:tblPrEx>
        <w:trPr>
          <w:trHeight w:val="624"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597"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养猪场（</w:t>
            </w:r>
            <w:r>
              <w:rPr>
                <w:rFonts w:hint="eastAsia" w:ascii="仿宋_GB2312" w:hAnsi="仿宋_GB2312" w:eastAsia="仿宋_GB2312" w:cs="仿宋_GB2312"/>
                <w:i w:val="0"/>
                <w:color w:val="000000"/>
                <w:kern w:val="2"/>
                <w:sz w:val="28"/>
                <w:szCs w:val="28"/>
                <w:u w:val="none"/>
                <w:lang w:val="en-US" w:eastAsia="zh-CN" w:bidi="ar-SA"/>
              </w:rPr>
              <w:t>硂结构、外墙砌砖或铝合金窗围护、水泥砂浆地面、水电设备齐全、排水排污设施配套</w:t>
            </w:r>
            <w:r>
              <w:rPr>
                <w:rFonts w:hint="eastAsia" w:ascii="仿宋_GB2312" w:hAnsi="仿宋_GB2312" w:eastAsia="仿宋_GB2312" w:cs="仿宋_GB2312"/>
                <w:i w:val="0"/>
                <w:color w:val="000000"/>
                <w:kern w:val="0"/>
                <w:sz w:val="28"/>
                <w:szCs w:val="28"/>
                <w:u w:val="none"/>
                <w:lang w:val="en-US" w:eastAsia="zh-CN" w:bidi="ar"/>
              </w:rPr>
              <w:t>）</w:t>
            </w:r>
          </w:p>
        </w:tc>
        <w:tc>
          <w:tcPr>
            <w:tcW w:w="7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t>
            </w:r>
          </w:p>
        </w:tc>
        <w:tc>
          <w:tcPr>
            <w:tcW w:w="13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650</w:t>
            </w:r>
          </w:p>
        </w:tc>
      </w:tr>
    </w:tbl>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备注：上述各项均包含</w:t>
      </w:r>
      <w:r>
        <w:rPr>
          <w:rFonts w:hint="eastAsia" w:ascii="仿宋_GB2312" w:hAnsi="仿宋_GB2312" w:eastAsia="仿宋_GB2312" w:cs="仿宋_GB2312"/>
          <w:sz w:val="28"/>
          <w:szCs w:val="28"/>
          <w:lang w:val="zh-CN"/>
        </w:rPr>
        <w:t>人工、材料、辅料、机械设备等费用，</w:t>
      </w:r>
      <w:r>
        <w:rPr>
          <w:rFonts w:hint="eastAsia" w:ascii="仿宋_GB2312" w:hAnsi="仿宋_GB2312" w:eastAsia="仿宋_GB2312" w:cs="仿宋_GB2312"/>
          <w:sz w:val="28"/>
          <w:szCs w:val="28"/>
        </w:rPr>
        <w:t>未考虑成新率及扣除折旧。</w:t>
      </w: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rPr>
      </w:pP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构筑物补偿标准</w:t>
      </w:r>
      <w:r>
        <w:rPr>
          <w:rFonts w:hint="eastAsia" w:ascii="仿宋_GB2312" w:hAnsi="仿宋_GB2312" w:eastAsia="仿宋_GB2312" w:cs="仿宋_GB2312"/>
          <w:b/>
          <w:bCs/>
          <w:sz w:val="28"/>
          <w:szCs w:val="28"/>
          <w:lang w:val="en-US" w:eastAsia="zh-CN"/>
        </w:rPr>
        <w:t>表</w:t>
      </w:r>
    </w:p>
    <w:tbl>
      <w:tblPr>
        <w:tblStyle w:val="2"/>
        <w:tblW w:w="0" w:type="auto"/>
        <w:tblInd w:w="131" w:type="dxa"/>
        <w:tblLayout w:type="autofit"/>
        <w:tblCellMar>
          <w:top w:w="0" w:type="dxa"/>
          <w:left w:w="108" w:type="dxa"/>
          <w:bottom w:w="0" w:type="dxa"/>
          <w:right w:w="108" w:type="dxa"/>
        </w:tblCellMar>
      </w:tblPr>
      <w:tblGrid>
        <w:gridCol w:w="786"/>
        <w:gridCol w:w="2834"/>
        <w:gridCol w:w="765"/>
        <w:gridCol w:w="1461"/>
        <w:gridCol w:w="2545"/>
      </w:tblGrid>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w:t>
            </w:r>
            <w:r>
              <w:rPr>
                <w:rFonts w:hint="eastAsia" w:ascii="仿宋_GB2312" w:hAnsi="仿宋_GB2312" w:eastAsia="仿宋_GB2312" w:cs="仿宋_GB2312"/>
                <w:color w:val="auto"/>
                <w:sz w:val="28"/>
                <w:szCs w:val="28"/>
                <w:lang w:val="en-US" w:eastAsia="zh-CN"/>
              </w:rPr>
              <w:t>价</w:t>
            </w:r>
            <w:r>
              <w:rPr>
                <w:rFonts w:hint="eastAsia" w:ascii="仿宋_GB2312" w:hAnsi="仿宋_GB2312" w:eastAsia="仿宋_GB2312" w:cs="仿宋_GB2312"/>
                <w:color w:val="auto"/>
                <w:sz w:val="28"/>
                <w:szCs w:val="28"/>
              </w:rPr>
              <w:t>（元）</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 注</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晒</w:t>
            </w:r>
            <w:r>
              <w:rPr>
                <w:rFonts w:hint="eastAsia" w:ascii="仿宋_GB2312" w:hAnsi="仿宋_GB2312" w:eastAsia="仿宋_GB2312" w:cs="仿宋_GB2312"/>
                <w:color w:val="auto"/>
                <w:sz w:val="28"/>
                <w:szCs w:val="28"/>
              </w:rPr>
              <w:t>坪</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砖墙、围墙（未批档）</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color w:val="auto"/>
                <w:sz w:val="28"/>
                <w:szCs w:val="28"/>
                <w:lang w:val="en-US" w:eastAsia="zh-CN"/>
              </w:rPr>
              <w:t>㎡</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160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砖墙、围墙（已批档）</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color w:val="auto"/>
                <w:sz w:val="28"/>
                <w:szCs w:val="28"/>
                <w:lang w:val="en-US" w:eastAsia="zh-CN"/>
              </w:rPr>
              <w:t>㎡</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180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层基</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color w:val="auto"/>
                <w:sz w:val="28"/>
                <w:szCs w:val="28"/>
                <w:lang w:val="en-US" w:eastAsia="zh-CN"/>
              </w:rPr>
              <w:t>㎡</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450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numPr>
                <w:ilvl w:val="0"/>
                <w:numId w:val="0"/>
              </w:numPr>
              <w:suppressLineNumbers w:val="0"/>
              <w:spacing w:before="45" w:after="45"/>
              <w:ind w:left="360"/>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毛石挡土墙</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m³</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0"/>
                <w:sz w:val="28"/>
                <w:szCs w:val="28"/>
                <w:u w:val="none"/>
                <w:lang w:val="en-US" w:eastAsia="zh-CN" w:bidi="ar"/>
              </w:rPr>
              <w:t>350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水泥路</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m</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4米宽</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strike w:val="0"/>
                <w:color w:val="auto"/>
                <w:sz w:val="28"/>
                <w:szCs w:val="28"/>
                <w:lang w:val="en-US" w:eastAsia="zh-CN"/>
              </w:rPr>
            </w:pPr>
            <w:r>
              <w:rPr>
                <w:rFonts w:hint="eastAsia" w:ascii="仿宋_GB2312" w:hAnsi="仿宋_GB2312" w:eastAsia="仿宋_GB2312" w:cs="仿宋_GB2312"/>
                <w:strike w:val="0"/>
                <w:color w:val="auto"/>
                <w:sz w:val="28"/>
                <w:szCs w:val="28"/>
                <w:lang w:val="en-US" w:eastAsia="zh-CN"/>
              </w:rPr>
              <w:t>7</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trike/>
                <w:color w:val="auto"/>
                <w:sz w:val="28"/>
                <w:szCs w:val="28"/>
                <w:lang w:eastAsia="zh-CN"/>
              </w:rPr>
            </w:pPr>
            <w:r>
              <w:rPr>
                <w:rFonts w:hint="eastAsia" w:ascii="仿宋_GB2312" w:hAnsi="仿宋_GB2312" w:eastAsia="仿宋_GB2312" w:cs="仿宋_GB2312"/>
                <w:strike w:val="0"/>
                <w:color w:val="auto"/>
                <w:sz w:val="28"/>
                <w:szCs w:val="28"/>
                <w:lang w:val="en-US" w:eastAsia="zh-CN"/>
              </w:rPr>
              <w:t>500#</w:t>
            </w:r>
            <w:r>
              <w:rPr>
                <w:rFonts w:hint="eastAsia" w:ascii="仿宋_GB2312" w:hAnsi="仿宋_GB2312" w:eastAsia="仿宋_GB2312" w:cs="仿宋_GB2312"/>
                <w:strike w:val="0"/>
                <w:color w:val="auto"/>
                <w:sz w:val="28"/>
                <w:szCs w:val="28"/>
                <w:lang w:eastAsia="zh-CN"/>
              </w:rPr>
              <w:t>混凝土</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trike/>
                <w:color w:val="auto"/>
                <w:sz w:val="28"/>
                <w:szCs w:val="28"/>
                <w:lang w:val="en-US" w:eastAsia="zh-CN"/>
              </w:rPr>
            </w:pPr>
            <w:r>
              <w:rPr>
                <w:rFonts w:hint="eastAsia" w:ascii="仿宋_GB2312" w:hAnsi="仿宋_GB2312" w:eastAsia="仿宋_GB2312" w:cs="仿宋_GB2312"/>
                <w:i w:val="0"/>
                <w:color w:val="auto"/>
                <w:kern w:val="0"/>
                <w:sz w:val="28"/>
                <w:szCs w:val="28"/>
                <w:u w:val="none"/>
                <w:lang w:val="en-US" w:eastAsia="zh-CN" w:bidi="ar"/>
              </w:rPr>
              <w:t>m³</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strike/>
                <w:color w:val="auto"/>
                <w:sz w:val="28"/>
                <w:szCs w:val="28"/>
                <w:lang w:val="en-US" w:eastAsia="zh-CN"/>
              </w:rPr>
            </w:pPr>
            <w:r>
              <w:rPr>
                <w:rFonts w:hint="eastAsia" w:ascii="仿宋_GB2312" w:hAnsi="仿宋_GB2312" w:eastAsia="仿宋_GB2312" w:cs="仿宋_GB2312"/>
                <w:strike w:val="0"/>
                <w:color w:val="auto"/>
                <w:sz w:val="28"/>
                <w:szCs w:val="28"/>
                <w:lang w:val="en-US" w:eastAsia="zh-CN"/>
              </w:rPr>
              <w:t>450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trike/>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strike w:val="0"/>
                <w:color w:val="auto"/>
                <w:sz w:val="28"/>
                <w:szCs w:val="28"/>
                <w:lang w:val="en-US" w:eastAsia="zh-CN"/>
              </w:rPr>
            </w:pPr>
            <w:r>
              <w:rPr>
                <w:rFonts w:hint="eastAsia" w:ascii="仿宋_GB2312" w:hAnsi="仿宋_GB2312" w:eastAsia="仿宋_GB2312" w:cs="仿宋_GB2312"/>
                <w:strike w:val="0"/>
                <w:color w:val="auto"/>
                <w:sz w:val="28"/>
                <w:szCs w:val="28"/>
                <w:lang w:val="en-US" w:eastAsia="zh-CN"/>
              </w:rPr>
              <w:t>8</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trike w:val="0"/>
                <w:color w:val="auto"/>
                <w:sz w:val="28"/>
                <w:szCs w:val="28"/>
                <w:lang w:val="en-US" w:eastAsia="zh-CN"/>
              </w:rPr>
            </w:pPr>
            <w:r>
              <w:rPr>
                <w:rFonts w:hint="eastAsia" w:ascii="仿宋_GB2312" w:hAnsi="仿宋_GB2312" w:eastAsia="仿宋_GB2312" w:cs="仿宋_GB2312"/>
                <w:strike w:val="0"/>
                <w:color w:val="auto"/>
                <w:sz w:val="28"/>
                <w:szCs w:val="28"/>
                <w:lang w:val="en-US" w:eastAsia="zh-CN"/>
              </w:rPr>
              <w:t>架线费</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m</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strike w:val="0"/>
                <w:color w:val="auto"/>
                <w:sz w:val="28"/>
                <w:szCs w:val="28"/>
                <w:lang w:val="en-US" w:eastAsia="zh-CN"/>
              </w:rPr>
            </w:pPr>
            <w:r>
              <w:rPr>
                <w:rFonts w:hint="eastAsia" w:ascii="仿宋_GB2312" w:hAnsi="仿宋_GB2312" w:eastAsia="仿宋_GB2312" w:cs="仿宋_GB2312"/>
                <w:strike w:val="0"/>
                <w:color w:val="auto"/>
                <w:sz w:val="28"/>
                <w:szCs w:val="28"/>
                <w:lang w:val="en-US" w:eastAsia="zh-CN"/>
              </w:rPr>
              <w:t>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strike/>
                <w:color w:val="auto"/>
                <w:sz w:val="28"/>
                <w:szCs w:val="28"/>
                <w:lang w:eastAsia="zh-CN"/>
              </w:rPr>
            </w:pPr>
            <w:r>
              <w:rPr>
                <w:rFonts w:hint="eastAsia" w:ascii="仿宋_GB2312" w:hAnsi="仿宋_GB2312" w:eastAsia="仿宋_GB2312" w:cs="仿宋_GB2312"/>
                <w:strike w:val="0"/>
                <w:color w:val="auto"/>
                <w:sz w:val="28"/>
                <w:szCs w:val="28"/>
                <w:lang w:eastAsia="zh-CN"/>
              </w:rPr>
              <w:t>三相四线含线杆</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9</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泥堤坝</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color w:val="auto"/>
                <w:kern w:val="0"/>
                <w:sz w:val="28"/>
                <w:szCs w:val="28"/>
                <w:u w:val="none"/>
                <w:lang w:val="en-US" w:eastAsia="zh-CN" w:bidi="ar"/>
              </w:rPr>
              <w:t>m³</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15</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大型水井</w:t>
            </w:r>
            <w:r>
              <w:rPr>
                <w:rFonts w:hint="eastAsia" w:ascii="仿宋_GB2312" w:hAnsi="仿宋_GB2312" w:eastAsia="仿宋_GB2312" w:cs="仿宋_GB2312"/>
                <w:color w:val="auto"/>
                <w:sz w:val="28"/>
                <w:szCs w:val="28"/>
                <w:lang w:eastAsia="zh-CN"/>
              </w:rPr>
              <w:t>（水井）</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color w:val="auto"/>
                <w:kern w:val="0"/>
                <w:sz w:val="28"/>
                <w:szCs w:val="28"/>
                <w:u w:val="none"/>
                <w:lang w:val="en-US" w:eastAsia="zh-CN" w:bidi="ar"/>
              </w:rPr>
              <w:t>m³</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zh-CN"/>
              </w:rPr>
              <w:t>凿石水井</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水利设施（三面光）</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50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底宽&gt;25cm</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门楼（宽2米以内）</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座</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3000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炉灶</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套</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2500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水泥涵管（DN300）</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m</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130</w:t>
            </w:r>
          </w:p>
        </w:tc>
        <w:tc>
          <w:tcPr>
            <w:tcW w:w="307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水泥涵管（DN500）</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m</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180</w:t>
            </w:r>
          </w:p>
        </w:tc>
        <w:tc>
          <w:tcPr>
            <w:tcW w:w="3074"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户外水管D20（PVC）</w:t>
            </w:r>
          </w:p>
        </w:tc>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m</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val="en-US" w:eastAsia="zh-CN"/>
              </w:rPr>
              <w:t>0</w:t>
            </w:r>
          </w:p>
        </w:tc>
        <w:tc>
          <w:tcPr>
            <w:tcW w:w="3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含管件</w:t>
            </w: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33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户外</w:t>
            </w:r>
            <w:r>
              <w:rPr>
                <w:rFonts w:hint="eastAsia" w:ascii="仿宋_GB2312" w:hAnsi="仿宋_GB2312" w:eastAsia="仿宋_GB2312" w:cs="仿宋_GB2312"/>
                <w:color w:val="auto"/>
                <w:sz w:val="28"/>
                <w:szCs w:val="28"/>
              </w:rPr>
              <w:t>水池</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color w:val="auto"/>
                <w:kern w:val="0"/>
                <w:sz w:val="28"/>
                <w:szCs w:val="28"/>
                <w:u w:val="none"/>
                <w:lang w:val="en-US" w:eastAsia="zh-CN" w:bidi="ar"/>
              </w:rPr>
              <w:t>m³</w:t>
            </w:r>
          </w:p>
        </w:tc>
        <w:tc>
          <w:tcPr>
            <w:tcW w:w="16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00</w:t>
            </w:r>
          </w:p>
        </w:tc>
        <w:tc>
          <w:tcPr>
            <w:tcW w:w="3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_GB2312" w:hAnsi="仿宋_GB2312" w:eastAsia="仿宋_GB2312" w:cs="仿宋_GB2312"/>
                <w:color w:val="auto"/>
                <w:kern w:val="2"/>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手摇井</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口</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3000</w:t>
            </w:r>
          </w:p>
        </w:tc>
        <w:tc>
          <w:tcPr>
            <w:tcW w:w="3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w:t>
            </w:r>
          </w:p>
        </w:tc>
        <w:tc>
          <w:tcPr>
            <w:tcW w:w="3367"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化粪池</w:t>
            </w:r>
          </w:p>
        </w:tc>
        <w:tc>
          <w:tcPr>
            <w:tcW w:w="87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套</w:t>
            </w:r>
          </w:p>
        </w:tc>
        <w:tc>
          <w:tcPr>
            <w:tcW w:w="1620" w:type="dxa"/>
            <w:tcBorders>
              <w:top w:val="single" w:color="auto" w:sz="6" w:space="0"/>
              <w:left w:val="single" w:color="auto" w:sz="6" w:space="0"/>
              <w:bottom w:val="single" w:color="auto" w:sz="6" w:space="0"/>
              <w:right w:val="single" w:color="auto" w:sz="6" w:space="0"/>
            </w:tcBorders>
            <w:vAlign w:val="center"/>
          </w:tcPr>
          <w:p>
            <w:pPr>
              <w:autoSpaceDE/>
              <w:autoSpaceDN/>
              <w:adjustRightInd/>
              <w:spacing w:line="360" w:lineRule="auto"/>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rPr>
              <w:t>3000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2"/>
                <w:sz w:val="28"/>
                <w:szCs w:val="28"/>
                <w:u w:val="none"/>
                <w:lang w:val="en-US" w:eastAsia="zh-CN" w:bidi="ar"/>
              </w:rPr>
              <w:t>空气能、太阳能（家用）</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2"/>
                <w:sz w:val="28"/>
                <w:szCs w:val="28"/>
                <w:u w:val="none"/>
                <w:lang w:val="en-US" w:eastAsia="zh-CN" w:bidi="ar"/>
              </w:rPr>
              <w:t>套</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SA"/>
              </w:rPr>
            </w:pPr>
            <w:r>
              <w:rPr>
                <w:rFonts w:hint="eastAsia" w:ascii="仿宋_GB2312" w:hAnsi="仿宋_GB2312" w:eastAsia="仿宋_GB2312" w:cs="仿宋_GB2312"/>
                <w:i w:val="0"/>
                <w:color w:val="auto"/>
                <w:kern w:val="2"/>
                <w:sz w:val="28"/>
                <w:szCs w:val="28"/>
                <w:u w:val="none"/>
                <w:lang w:val="en-US" w:eastAsia="zh-CN" w:bidi="ar"/>
              </w:rPr>
              <w:t>6000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空调移机补偿</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台</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300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三线一管迁移费</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户</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1800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搬迁费</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户</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2000</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624" w:hRule="atLeast"/>
        </w:trPr>
        <w:tc>
          <w:tcPr>
            <w:tcW w:w="9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w:t>
            </w:r>
          </w:p>
        </w:tc>
        <w:tc>
          <w:tcPr>
            <w:tcW w:w="336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临时安置费</w:t>
            </w:r>
          </w:p>
        </w:tc>
        <w:tc>
          <w:tcPr>
            <w:tcW w:w="8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户</w:t>
            </w:r>
          </w:p>
        </w:tc>
        <w:tc>
          <w:tcPr>
            <w:tcW w:w="16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line="360" w:lineRule="auto"/>
              <w:jc w:val="center"/>
              <w:textAlignment w:val="auto"/>
              <w:rPr>
                <w:rFonts w:hint="eastAsia" w:ascii="仿宋_GB2312" w:hAnsi="仿宋_GB2312" w:eastAsia="仿宋_GB2312" w:cs="仿宋_GB2312"/>
                <w:i w:val="0"/>
                <w:color w:val="auto"/>
                <w:kern w:val="2"/>
                <w:sz w:val="28"/>
                <w:szCs w:val="28"/>
                <w:u w:val="none"/>
                <w:lang w:val="en-US" w:eastAsia="zh-CN" w:bidi="ar"/>
              </w:rPr>
            </w:pPr>
            <w:r>
              <w:rPr>
                <w:rFonts w:hint="eastAsia" w:ascii="仿宋_GB2312" w:hAnsi="仿宋_GB2312" w:eastAsia="仿宋_GB2312" w:cs="仿宋_GB2312"/>
                <w:i w:val="0"/>
                <w:color w:val="auto"/>
                <w:kern w:val="2"/>
                <w:sz w:val="28"/>
                <w:szCs w:val="28"/>
                <w:u w:val="none"/>
                <w:lang w:val="en-US" w:eastAsia="zh-CN" w:bidi="ar"/>
              </w:rPr>
              <w:t>800元/月</w:t>
            </w:r>
          </w:p>
        </w:tc>
        <w:tc>
          <w:tcPr>
            <w:tcW w:w="307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按一年过度时限算，一次性支付</w:t>
            </w:r>
          </w:p>
        </w:tc>
      </w:tr>
    </w:tbl>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备注：上述各项均包含</w:t>
      </w:r>
      <w:r>
        <w:rPr>
          <w:rFonts w:hint="eastAsia" w:ascii="仿宋_GB2312" w:hAnsi="仿宋_GB2312" w:eastAsia="仿宋_GB2312" w:cs="仿宋_GB2312"/>
          <w:sz w:val="28"/>
          <w:szCs w:val="28"/>
          <w:lang w:val="zh-CN"/>
        </w:rPr>
        <w:t>人工、材料、辅料、机械设备等费用，</w:t>
      </w:r>
      <w:r>
        <w:rPr>
          <w:rFonts w:hint="eastAsia" w:ascii="仿宋_GB2312" w:hAnsi="仿宋_GB2312" w:eastAsia="仿宋_GB2312" w:cs="仿宋_GB2312"/>
          <w:sz w:val="28"/>
          <w:szCs w:val="28"/>
        </w:rPr>
        <w:t>未考虑成新率及扣除折旧。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B7969"/>
    <w:rsid w:val="58AB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2020-08-19T01:32:00Z</dcterms:created>
  <dc:creator>夏至</dc:creator>
  <cp:lastModifiedBy>夏至</cp:lastModifiedBy>
  <dcterms:modified xsi:type="dcterms:W3CDTF">2020-08-19T01:33:48Z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