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仿宋" w:hAnsi="仿宋" w:eastAsia="仿宋" w:cs="仿宋"/>
          <w:b/>
          <w:kern w:val="1"/>
          <w:sz w:val="44"/>
          <w:szCs w:val="44"/>
          <w:shd w:val="clear" w:color="auto" w:fill="FFFFFF"/>
        </w:rPr>
      </w:pPr>
    </w:p>
    <w:p>
      <w:pPr>
        <w:snapToGrid w:val="0"/>
        <w:spacing w:line="360" w:lineRule="auto"/>
        <w:jc w:val="center"/>
        <w:rPr>
          <w:rFonts w:hint="eastAsia" w:ascii="仿宋" w:hAnsi="仿宋" w:eastAsia="仿宋" w:cs="仿宋"/>
          <w:b/>
          <w:kern w:val="1"/>
          <w:sz w:val="44"/>
          <w:szCs w:val="44"/>
          <w:shd w:val="clear" w:color="auto" w:fill="FFFFFF"/>
        </w:rPr>
      </w:pPr>
    </w:p>
    <w:p>
      <w:pPr>
        <w:snapToGrid w:val="0"/>
        <w:spacing w:line="360" w:lineRule="auto"/>
        <w:jc w:val="center"/>
        <w:rPr>
          <w:rFonts w:hint="eastAsia" w:ascii="仿宋" w:hAnsi="仿宋" w:eastAsia="仿宋" w:cs="仿宋"/>
          <w:b/>
          <w:kern w:val="1"/>
          <w:sz w:val="48"/>
          <w:szCs w:val="48"/>
          <w:shd w:val="clear" w:color="auto" w:fill="FFFFFF"/>
          <w:lang w:eastAsia="zh-CN"/>
        </w:rPr>
      </w:pPr>
      <w:r>
        <w:rPr>
          <w:rFonts w:hint="eastAsia" w:ascii="仿宋" w:hAnsi="仿宋" w:eastAsia="仿宋" w:cs="仿宋"/>
          <w:b/>
          <w:kern w:val="1"/>
          <w:sz w:val="48"/>
          <w:szCs w:val="48"/>
          <w:shd w:val="clear" w:color="auto" w:fill="FFFFFF"/>
          <w:lang w:eastAsia="zh-CN"/>
        </w:rPr>
        <w:t>龙川县2007年度第二批次城镇建设用地</w:t>
      </w:r>
    </w:p>
    <w:p>
      <w:pPr>
        <w:snapToGrid w:val="0"/>
        <w:spacing w:line="360" w:lineRule="auto"/>
        <w:jc w:val="center"/>
        <w:rPr>
          <w:rFonts w:hint="eastAsia" w:ascii="仿宋" w:hAnsi="仿宋" w:eastAsia="仿宋" w:cs="仿宋"/>
          <w:b/>
          <w:sz w:val="48"/>
          <w:szCs w:val="48"/>
          <w:shd w:val="clear" w:color="auto" w:fill="FFFFFF"/>
        </w:rPr>
      </w:pPr>
      <w:r>
        <w:rPr>
          <w:rFonts w:hint="eastAsia" w:ascii="仿宋" w:hAnsi="仿宋" w:eastAsia="仿宋" w:cs="仿宋"/>
          <w:b/>
          <w:kern w:val="1"/>
          <w:sz w:val="48"/>
          <w:szCs w:val="48"/>
          <w:shd w:val="clear" w:color="auto" w:fill="FFFFFF"/>
        </w:rPr>
        <w:t>地上建筑物征收与补偿方案</w:t>
      </w: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both"/>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napToGrid w:val="0"/>
        <w:spacing w:line="360" w:lineRule="auto"/>
        <w:jc w:val="center"/>
        <w:rPr>
          <w:rFonts w:hint="eastAsia" w:ascii="仿宋" w:hAnsi="仿宋" w:eastAsia="仿宋" w:cs="仿宋"/>
          <w:b/>
          <w:bCs/>
          <w:sz w:val="32"/>
          <w:szCs w:val="32"/>
          <w:shd w:val="clear" w:color="auto" w:fill="FFFFFF"/>
        </w:rPr>
      </w:pPr>
    </w:p>
    <w:p>
      <w:pPr>
        <w:spacing w:line="360" w:lineRule="auto"/>
        <w:ind w:firstLine="0" w:firstLineChars="0"/>
        <w:jc w:val="center"/>
        <w:rPr>
          <w:rFonts w:hint="eastAsia" w:ascii="仿宋" w:hAnsi="仿宋" w:eastAsia="仿宋" w:cs="仿宋"/>
          <w:b/>
          <w:bCs/>
          <w:sz w:val="28"/>
          <w:szCs w:val="28"/>
          <w:shd w:val="clear"/>
        </w:rPr>
      </w:pPr>
      <w:r>
        <w:rPr>
          <w:rFonts w:hint="eastAsia" w:ascii="仿宋" w:hAnsi="仿宋" w:eastAsia="仿宋" w:cs="仿宋"/>
          <w:b/>
          <w:bCs/>
          <w:sz w:val="28"/>
          <w:szCs w:val="28"/>
          <w:shd w:val="clear"/>
        </w:rPr>
        <w:t>委托单位：龙川县自然资源局</w:t>
      </w:r>
    </w:p>
    <w:p>
      <w:pPr>
        <w:spacing w:line="360" w:lineRule="auto"/>
        <w:ind w:firstLine="0" w:firstLineChars="0"/>
        <w:jc w:val="center"/>
        <w:rPr>
          <w:rFonts w:hint="eastAsia" w:ascii="仿宋" w:hAnsi="仿宋" w:eastAsia="仿宋" w:cs="仿宋"/>
          <w:b/>
          <w:bCs/>
          <w:sz w:val="28"/>
          <w:szCs w:val="28"/>
          <w:shd w:val="clear"/>
          <w:lang w:eastAsia="zh-CN"/>
        </w:rPr>
      </w:pPr>
      <w:r>
        <w:rPr>
          <w:rFonts w:hint="eastAsia" w:ascii="仿宋" w:hAnsi="仿宋" w:eastAsia="仿宋" w:cs="仿宋"/>
          <w:b/>
          <w:bCs/>
          <w:sz w:val="28"/>
          <w:szCs w:val="28"/>
          <w:shd w:val="clear"/>
        </w:rPr>
        <w:t>编制单位：</w:t>
      </w:r>
      <w:r>
        <w:rPr>
          <w:rFonts w:hint="eastAsia" w:ascii="仿宋" w:hAnsi="仿宋" w:eastAsia="仿宋" w:cs="仿宋"/>
          <w:b/>
          <w:bCs/>
          <w:sz w:val="28"/>
          <w:szCs w:val="28"/>
          <w:shd w:val="clear"/>
          <w:lang w:eastAsia="zh-CN"/>
        </w:rPr>
        <w:t>河源市正大资产土地房地产估价顾问有限公司</w:t>
      </w:r>
    </w:p>
    <w:p>
      <w:pPr>
        <w:snapToGrid/>
        <w:spacing w:line="360" w:lineRule="auto"/>
        <w:jc w:val="center"/>
        <w:rPr>
          <w:rFonts w:hint="eastAsia" w:ascii="仿宋" w:hAnsi="仿宋" w:eastAsia="仿宋" w:cs="仿宋"/>
          <w:b/>
          <w:bCs/>
          <w:sz w:val="28"/>
          <w:szCs w:val="28"/>
          <w:shd w:val="clear"/>
        </w:rPr>
      </w:pPr>
      <w:r>
        <w:rPr>
          <w:rFonts w:hint="eastAsia" w:ascii="仿宋" w:hAnsi="仿宋" w:eastAsia="仿宋" w:cs="仿宋"/>
          <w:b/>
          <w:bCs/>
          <w:sz w:val="28"/>
          <w:szCs w:val="28"/>
          <w:shd w:val="clear"/>
        </w:rPr>
        <w:t>编制时间：二○</w:t>
      </w:r>
      <w:r>
        <w:rPr>
          <w:rFonts w:hint="eastAsia" w:ascii="仿宋" w:hAnsi="仿宋" w:eastAsia="仿宋" w:cs="仿宋"/>
          <w:b/>
          <w:bCs/>
          <w:sz w:val="28"/>
          <w:szCs w:val="28"/>
          <w:shd w:val="clear"/>
          <w:lang w:eastAsia="zh-CN"/>
        </w:rPr>
        <w:t>二</w:t>
      </w:r>
      <w:r>
        <w:rPr>
          <w:rFonts w:hint="eastAsia" w:ascii="仿宋" w:hAnsi="仿宋" w:eastAsia="仿宋" w:cs="仿宋"/>
          <w:b/>
          <w:bCs/>
          <w:sz w:val="28"/>
          <w:szCs w:val="28"/>
          <w:shd w:val="clear"/>
        </w:rPr>
        <w:t>○年</w:t>
      </w:r>
      <w:r>
        <w:rPr>
          <w:rFonts w:hint="eastAsia" w:ascii="仿宋" w:hAnsi="仿宋" w:eastAsia="仿宋" w:cs="仿宋"/>
          <w:b/>
          <w:bCs/>
          <w:sz w:val="28"/>
          <w:szCs w:val="28"/>
          <w:shd w:val="clear"/>
          <w:lang w:eastAsia="zh-CN"/>
        </w:rPr>
        <w:t>十</w:t>
      </w:r>
      <w:r>
        <w:rPr>
          <w:rFonts w:hint="eastAsia" w:ascii="仿宋" w:hAnsi="仿宋" w:eastAsia="仿宋" w:cs="仿宋"/>
          <w:b/>
          <w:bCs/>
          <w:sz w:val="28"/>
          <w:szCs w:val="28"/>
          <w:shd w:val="clear"/>
        </w:rPr>
        <w:t>月</w:t>
      </w:r>
    </w:p>
    <w:p>
      <w:pPr>
        <w:snapToGrid w:val="0"/>
        <w:spacing w:line="360" w:lineRule="auto"/>
        <w:jc w:val="center"/>
        <w:rPr>
          <w:rFonts w:hint="eastAsia" w:ascii="仿宋" w:hAnsi="仿宋" w:eastAsia="仿宋" w:cs="仿宋"/>
          <w:b/>
          <w:kern w:val="1"/>
          <w:sz w:val="44"/>
          <w:szCs w:val="44"/>
          <w:shd w:val="clear" w:color="auto" w:fill="FFFFFF"/>
        </w:rPr>
      </w:pPr>
    </w:p>
    <w:p>
      <w:pPr>
        <w:pStyle w:val="2"/>
        <w:snapToGrid w:val="0"/>
        <w:spacing w:before="0" w:after="0" w:line="360" w:lineRule="auto"/>
        <w:ind w:left="0" w:firstLine="0"/>
        <w:jc w:val="center"/>
        <w:rPr>
          <w:rFonts w:hint="eastAsia" w:ascii="仿宋" w:hAnsi="仿宋" w:eastAsia="仿宋" w:cs="仿宋"/>
          <w:bCs/>
          <w:sz w:val="36"/>
          <w:szCs w:val="36"/>
          <w:shd w:val="clear" w:color="auto" w:fill="FFFFFF"/>
        </w:rPr>
      </w:pPr>
      <w:bookmarkStart w:id="0" w:name="_Toc8238"/>
      <w:bookmarkStart w:id="1" w:name="_Toc482714413"/>
      <w:bookmarkStart w:id="2" w:name="_Toc20831"/>
      <w:bookmarkStart w:id="3" w:name="_Toc12092"/>
      <w:bookmarkStart w:id="4" w:name="_Toc30369"/>
      <w:bookmarkStart w:id="5" w:name="_Toc396227887"/>
      <w:bookmarkStart w:id="6" w:name="_Toc1786"/>
      <w:bookmarkStart w:id="7" w:name="_Toc13095"/>
      <w:bookmarkStart w:id="8" w:name="_Toc365886285"/>
      <w:bookmarkStart w:id="9" w:name="_Toc488153831"/>
      <w:r>
        <w:rPr>
          <w:rFonts w:hint="eastAsia" w:ascii="仿宋" w:hAnsi="仿宋" w:eastAsia="仿宋" w:cs="仿宋"/>
          <w:sz w:val="36"/>
          <w:szCs w:val="36"/>
          <w:shd w:val="clear" w:color="auto" w:fill="FFFFFF"/>
          <w:lang w:val="en-US" w:eastAsia="zh-CN"/>
        </w:rPr>
        <w:t xml:space="preserve"> </w:t>
      </w:r>
      <w:r>
        <w:rPr>
          <w:rFonts w:hint="eastAsia" w:ascii="仿宋" w:hAnsi="仿宋" w:eastAsia="仿宋" w:cs="仿宋"/>
          <w:sz w:val="36"/>
          <w:szCs w:val="36"/>
          <w:shd w:val="clear" w:color="auto" w:fill="FFFFFF"/>
        </w:rPr>
        <w:t>总则</w:t>
      </w:r>
      <w:bookmarkEnd w:id="0"/>
      <w:bookmarkEnd w:id="1"/>
      <w:bookmarkEnd w:id="2"/>
      <w:bookmarkEnd w:id="3"/>
      <w:bookmarkEnd w:id="4"/>
      <w:bookmarkEnd w:id="5"/>
      <w:bookmarkEnd w:id="6"/>
      <w:bookmarkEnd w:id="7"/>
      <w:bookmarkEnd w:id="8"/>
      <w:bookmarkEnd w:id="9"/>
    </w:p>
    <w:p>
      <w:pPr>
        <w:rPr>
          <w:rFonts w:hint="eastAsia" w:ascii="仿宋" w:hAnsi="仿宋" w:eastAsia="仿宋" w:cs="仿宋"/>
        </w:rPr>
      </w:pPr>
    </w:p>
    <w:p>
      <w:pPr>
        <w:pStyle w:val="3"/>
        <w:tabs>
          <w:tab w:val="left" w:pos="560"/>
          <w:tab w:val="clear" w:pos="284"/>
        </w:tabs>
        <w:adjustRightInd w:val="0"/>
        <w:snapToGrid w:val="0"/>
        <w:jc w:val="both"/>
        <w:rPr>
          <w:rFonts w:hint="eastAsia" w:ascii="仿宋" w:hAnsi="仿宋" w:eastAsia="仿宋" w:cs="仿宋"/>
          <w:sz w:val="28"/>
          <w:szCs w:val="28"/>
          <w:shd w:val="clear" w:color="auto" w:fill="FFFFFF"/>
        </w:rPr>
      </w:pPr>
      <w:bookmarkStart w:id="10" w:name="_Toc31828"/>
      <w:bookmarkStart w:id="11" w:name="_Toc17923"/>
      <w:bookmarkStart w:id="12" w:name="_Toc396227888"/>
      <w:bookmarkStart w:id="13" w:name="_Toc15919"/>
      <w:bookmarkStart w:id="14" w:name="_Toc27818"/>
      <w:bookmarkStart w:id="15" w:name="_Toc488153832"/>
      <w:bookmarkStart w:id="16" w:name="_Toc27683"/>
      <w:bookmarkStart w:id="17" w:name="_Toc28222"/>
      <w:bookmarkStart w:id="18" w:name="_Toc482714414"/>
      <w:bookmarkStart w:id="19" w:name="_Toc12716"/>
      <w:r>
        <w:rPr>
          <w:rFonts w:hint="eastAsia" w:ascii="仿宋" w:hAnsi="仿宋" w:eastAsia="仿宋" w:cs="仿宋"/>
          <w:sz w:val="28"/>
          <w:szCs w:val="28"/>
          <w:shd w:val="clear" w:color="auto" w:fill="FFFFFF"/>
        </w:rPr>
        <w:t>目的和依据</w:t>
      </w:r>
      <w:bookmarkEnd w:id="10"/>
      <w:bookmarkEnd w:id="11"/>
      <w:bookmarkEnd w:id="12"/>
      <w:bookmarkEnd w:id="13"/>
      <w:bookmarkEnd w:id="14"/>
      <w:bookmarkEnd w:id="15"/>
      <w:bookmarkEnd w:id="16"/>
      <w:bookmarkEnd w:id="17"/>
      <w:bookmarkEnd w:id="18"/>
      <w:bookmarkEnd w:id="19"/>
    </w:p>
    <w:p>
      <w:pPr>
        <w:keepNext w:val="0"/>
        <w:keepLines w:val="0"/>
        <w:pageBreakBefore w:val="0"/>
        <w:widowControl/>
        <w:kinsoku/>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sz w:val="28"/>
          <w:szCs w:val="28"/>
          <w:lang w:val="en-US" w:eastAsia="zh-CN"/>
        </w:rPr>
        <w:t>位于广东省龙川县佗城镇大江村白照壁、江渡一、涧一、涧二、狮子寨经济合作社、大江经济合作社，新渡村车塘、干背底、各四、松仁下、新四经济合作社。</w:t>
      </w:r>
    </w:p>
    <w:p>
      <w:pPr>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根据《国有土地上房屋征收与补偿条例》（国务院令2011第590号）及《河源市城市规划区房屋征收与补偿实施办法》(河府〔2017〕44号)等法律法规的有关规定，结合实际，制定对</w:t>
      </w:r>
      <w:r>
        <w:rPr>
          <w:rFonts w:hint="eastAsia" w:ascii="仿宋" w:hAnsi="仿宋" w:eastAsia="仿宋" w:cs="仿宋"/>
          <w:sz w:val="28"/>
          <w:szCs w:val="28"/>
          <w:shd w:val="clear" w:color="auto" w:fill="FFFFFF"/>
          <w:lang w:eastAsia="zh-CN"/>
        </w:rPr>
        <w:t>龙川县2007年度第二批次城镇建设用地</w:t>
      </w:r>
      <w:r>
        <w:rPr>
          <w:rFonts w:hint="eastAsia" w:ascii="仿宋" w:hAnsi="仿宋" w:eastAsia="仿宋" w:cs="仿宋"/>
          <w:sz w:val="28"/>
          <w:szCs w:val="28"/>
          <w:shd w:val="clear" w:color="auto" w:fill="FFFFFF"/>
        </w:rPr>
        <w:t>补偿方案（以下简称“本方案”）。</w:t>
      </w:r>
    </w:p>
    <w:p>
      <w:pPr>
        <w:pStyle w:val="3"/>
        <w:tabs>
          <w:tab w:val="left" w:pos="560"/>
          <w:tab w:val="clear" w:pos="284"/>
        </w:tabs>
        <w:adjustRightInd w:val="0"/>
        <w:snapToGrid w:val="0"/>
        <w:jc w:val="both"/>
        <w:rPr>
          <w:rFonts w:hint="eastAsia" w:ascii="仿宋" w:hAnsi="仿宋" w:eastAsia="仿宋" w:cs="仿宋"/>
          <w:b w:val="0"/>
          <w:bCs/>
          <w:sz w:val="28"/>
          <w:szCs w:val="28"/>
          <w:shd w:val="clear" w:color="auto" w:fill="FFFFFF"/>
        </w:rPr>
      </w:pPr>
      <w:bookmarkStart w:id="20" w:name="_Toc488153833"/>
      <w:bookmarkStart w:id="21" w:name="_Toc7914"/>
      <w:bookmarkStart w:id="22" w:name="_Toc3129"/>
      <w:bookmarkStart w:id="23" w:name="_Toc877"/>
      <w:bookmarkStart w:id="24" w:name="_Toc20469"/>
      <w:bookmarkStart w:id="25" w:name="_Toc29708"/>
      <w:bookmarkStart w:id="26" w:name="_Toc13280"/>
      <w:bookmarkStart w:id="27" w:name="_Toc20634"/>
      <w:bookmarkStart w:id="28" w:name="_Toc396227889"/>
      <w:bookmarkStart w:id="29" w:name="_Toc482714415"/>
      <w:r>
        <w:rPr>
          <w:rFonts w:hint="eastAsia" w:ascii="仿宋" w:hAnsi="仿宋" w:eastAsia="仿宋" w:cs="仿宋"/>
          <w:sz w:val="28"/>
          <w:szCs w:val="28"/>
          <w:shd w:val="clear" w:color="auto" w:fill="FFFFFF"/>
        </w:rPr>
        <w:t>征收主体</w:t>
      </w:r>
      <w:bookmarkEnd w:id="20"/>
      <w:bookmarkEnd w:id="21"/>
      <w:bookmarkEnd w:id="22"/>
      <w:bookmarkEnd w:id="23"/>
      <w:bookmarkEnd w:id="24"/>
      <w:bookmarkEnd w:id="25"/>
      <w:bookmarkEnd w:id="26"/>
      <w:bookmarkEnd w:id="27"/>
      <w:bookmarkEnd w:id="28"/>
      <w:bookmarkEnd w:id="29"/>
    </w:p>
    <w:p>
      <w:p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龙川县自然资源局是本项目的征收部门。</w:t>
      </w:r>
    </w:p>
    <w:p>
      <w:p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eastAsia="zh-CN"/>
        </w:rPr>
        <w:t>龙川县佗城镇人民政府</w:t>
      </w:r>
      <w:r>
        <w:rPr>
          <w:rFonts w:hint="eastAsia" w:ascii="仿宋" w:hAnsi="仿宋" w:eastAsia="仿宋" w:cs="仿宋"/>
          <w:sz w:val="28"/>
          <w:szCs w:val="28"/>
          <w:shd w:val="clear" w:color="auto" w:fill="FFFFFF"/>
        </w:rPr>
        <w:t>是本项目的征收实施单位，负责办理征收补偿工作具体事宜，并接受征收部门的监督、指导。</w:t>
      </w:r>
    </w:p>
    <w:p>
      <w:pPr>
        <w:pStyle w:val="3"/>
        <w:tabs>
          <w:tab w:val="left" w:pos="560"/>
          <w:tab w:val="clear" w:pos="284"/>
        </w:tabs>
        <w:adjustRightInd w:val="0"/>
        <w:snapToGrid w:val="0"/>
        <w:jc w:val="both"/>
        <w:rPr>
          <w:rFonts w:hint="eastAsia" w:ascii="仿宋" w:hAnsi="仿宋" w:eastAsia="仿宋" w:cs="仿宋"/>
          <w:b w:val="0"/>
          <w:bCs/>
          <w:sz w:val="28"/>
          <w:szCs w:val="28"/>
          <w:shd w:val="clear" w:color="auto" w:fill="FFFFFF"/>
        </w:rPr>
      </w:pPr>
      <w:bookmarkStart w:id="30" w:name="_Toc13112"/>
      <w:bookmarkStart w:id="31" w:name="_Toc396227890"/>
      <w:bookmarkStart w:id="32" w:name="_Toc23809"/>
      <w:bookmarkStart w:id="33" w:name="_Toc488153834"/>
      <w:bookmarkStart w:id="34" w:name="_Toc1151"/>
      <w:bookmarkStart w:id="35" w:name="_Toc651"/>
      <w:bookmarkStart w:id="36" w:name="_Toc17230"/>
      <w:bookmarkStart w:id="37" w:name="_Toc482714416"/>
      <w:bookmarkStart w:id="38" w:name="_Toc27569"/>
      <w:bookmarkStart w:id="39" w:name="_Toc6780"/>
      <w:r>
        <w:rPr>
          <w:rFonts w:hint="eastAsia" w:ascii="仿宋" w:hAnsi="仿宋" w:eastAsia="仿宋" w:cs="仿宋"/>
          <w:sz w:val="28"/>
          <w:szCs w:val="28"/>
          <w:shd w:val="clear" w:color="auto" w:fill="FFFFFF"/>
        </w:rPr>
        <w:t>适用范围</w:t>
      </w:r>
      <w:bookmarkEnd w:id="30"/>
      <w:bookmarkEnd w:id="31"/>
      <w:bookmarkEnd w:id="32"/>
      <w:bookmarkEnd w:id="33"/>
      <w:bookmarkEnd w:id="34"/>
      <w:bookmarkEnd w:id="35"/>
      <w:bookmarkEnd w:id="36"/>
      <w:bookmarkEnd w:id="37"/>
      <w:bookmarkEnd w:id="38"/>
      <w:bookmarkEnd w:id="39"/>
    </w:p>
    <w:p>
      <w:pPr>
        <w:snapToGrid w:val="0"/>
        <w:spacing w:line="360" w:lineRule="auto"/>
        <w:ind w:firstLine="560" w:firstLineChars="200"/>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本方案仅适用于</w:t>
      </w: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sz w:val="28"/>
          <w:szCs w:val="28"/>
          <w:shd w:val="clear" w:color="auto" w:fill="FFFFFF"/>
        </w:rPr>
        <w:t>的补偿工作。</w:t>
      </w:r>
    </w:p>
    <w:p>
      <w:pPr>
        <w:pStyle w:val="3"/>
        <w:tabs>
          <w:tab w:val="left" w:pos="560"/>
          <w:tab w:val="clear" w:pos="284"/>
        </w:tabs>
        <w:adjustRightInd w:val="0"/>
        <w:snapToGrid w:val="0"/>
        <w:jc w:val="both"/>
        <w:rPr>
          <w:rFonts w:hint="eastAsia" w:ascii="仿宋" w:hAnsi="仿宋" w:eastAsia="仿宋" w:cs="仿宋"/>
          <w:b w:val="0"/>
          <w:bCs/>
          <w:sz w:val="28"/>
          <w:szCs w:val="28"/>
          <w:shd w:val="clear" w:color="auto" w:fill="FFFFFF"/>
        </w:rPr>
      </w:pPr>
      <w:bookmarkStart w:id="40" w:name="_Toc4613"/>
      <w:bookmarkStart w:id="41" w:name="_Toc14796"/>
      <w:bookmarkStart w:id="42" w:name="_Toc8224"/>
      <w:bookmarkStart w:id="43" w:name="_Toc24102"/>
      <w:bookmarkStart w:id="44" w:name="_Toc10367"/>
      <w:bookmarkStart w:id="45" w:name="_Toc488153835"/>
      <w:bookmarkStart w:id="46" w:name="_Toc4577"/>
      <w:bookmarkStart w:id="47" w:name="_Toc18779"/>
      <w:bookmarkStart w:id="48" w:name="_Toc396227891"/>
      <w:bookmarkStart w:id="49" w:name="_Toc482714417"/>
      <w:r>
        <w:rPr>
          <w:rFonts w:hint="eastAsia" w:ascii="仿宋" w:hAnsi="仿宋" w:eastAsia="仿宋" w:cs="仿宋"/>
          <w:sz w:val="28"/>
          <w:szCs w:val="28"/>
          <w:shd w:val="clear" w:color="auto" w:fill="FFFFFF"/>
        </w:rPr>
        <w:t>征收补偿方式</w:t>
      </w:r>
      <w:bookmarkEnd w:id="40"/>
      <w:bookmarkEnd w:id="41"/>
      <w:bookmarkEnd w:id="42"/>
      <w:bookmarkEnd w:id="43"/>
      <w:bookmarkEnd w:id="44"/>
      <w:bookmarkEnd w:id="45"/>
      <w:bookmarkEnd w:id="46"/>
      <w:bookmarkEnd w:id="47"/>
      <w:bookmarkEnd w:id="48"/>
      <w:bookmarkEnd w:id="49"/>
    </w:p>
    <w:p>
      <w:p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本项目以货币补偿的方式进行补偿。除本方案及县政府另有规定外，征收构筑物、其他附着物等均实行货币补偿。</w:t>
      </w:r>
    </w:p>
    <w:p>
      <w:pPr>
        <w:pStyle w:val="3"/>
        <w:tabs>
          <w:tab w:val="left" w:pos="560"/>
          <w:tab w:val="clear" w:pos="284"/>
        </w:tabs>
        <w:adjustRightInd w:val="0"/>
        <w:snapToGrid w:val="0"/>
        <w:jc w:val="both"/>
        <w:rPr>
          <w:rFonts w:hint="eastAsia" w:ascii="仿宋" w:hAnsi="仿宋" w:eastAsia="仿宋" w:cs="仿宋"/>
          <w:b w:val="0"/>
          <w:sz w:val="28"/>
          <w:szCs w:val="28"/>
          <w:shd w:val="clear" w:color="auto" w:fill="FFFFFF"/>
        </w:rPr>
      </w:pPr>
      <w:bookmarkStart w:id="50" w:name="_Toc482714418"/>
      <w:bookmarkStart w:id="51" w:name="_Toc488153836"/>
      <w:bookmarkStart w:id="52" w:name="_Toc396227892"/>
      <w:bookmarkStart w:id="53" w:name="_Toc14834"/>
      <w:bookmarkStart w:id="54" w:name="_Toc31494"/>
      <w:bookmarkStart w:id="55" w:name="_Toc19728"/>
      <w:bookmarkStart w:id="56" w:name="_Toc13501"/>
      <w:bookmarkStart w:id="57" w:name="_Toc7460"/>
      <w:bookmarkStart w:id="58" w:name="_Toc3670"/>
      <w:bookmarkStart w:id="59" w:name="_Toc27415"/>
      <w:r>
        <w:rPr>
          <w:rFonts w:hint="eastAsia" w:ascii="仿宋" w:hAnsi="仿宋" w:eastAsia="仿宋" w:cs="仿宋"/>
          <w:sz w:val="28"/>
          <w:szCs w:val="28"/>
          <w:shd w:val="clear" w:color="auto" w:fill="FFFFFF"/>
        </w:rPr>
        <w:t>补偿原则与范围</w:t>
      </w:r>
      <w:bookmarkEnd w:id="50"/>
      <w:bookmarkEnd w:id="51"/>
      <w:bookmarkEnd w:id="52"/>
      <w:bookmarkEnd w:id="53"/>
      <w:bookmarkEnd w:id="54"/>
      <w:bookmarkEnd w:id="55"/>
      <w:bookmarkEnd w:id="56"/>
      <w:bookmarkEnd w:id="57"/>
      <w:bookmarkEnd w:id="58"/>
      <w:bookmarkEnd w:id="59"/>
    </w:p>
    <w:p>
      <w:pPr>
        <w:numPr>
          <w:ilvl w:val="0"/>
          <w:numId w:val="2"/>
        </w:num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征收人除对被征收人的房屋、土地、临时建（构）筑物及地上附着物等进行补偿外，在不造成重复补偿的前提下，根据实际情况，还需向被征收人补偿房屋室内装修装饰补偿费、搬迁费、临时安置费、停产停业补偿费等。</w:t>
      </w:r>
    </w:p>
    <w:p>
      <w:pPr>
        <w:pStyle w:val="9"/>
        <w:numPr>
          <w:ilvl w:val="0"/>
          <w:numId w:val="2"/>
        </w:numPr>
        <w:ind w:firstLine="560" w:firstLineChars="200"/>
        <w:rPr>
          <w:rFonts w:hint="eastAsia" w:ascii="仿宋" w:hAnsi="仿宋" w:eastAsia="仿宋" w:cs="仿宋"/>
          <w:color w:val="auto"/>
          <w:kern w:val="2"/>
          <w:sz w:val="28"/>
          <w:szCs w:val="28"/>
          <w:shd w:val="clear" w:color="auto" w:fill="FFFFFF"/>
        </w:rPr>
      </w:pPr>
      <w:r>
        <w:rPr>
          <w:rFonts w:hint="eastAsia" w:ascii="仿宋" w:hAnsi="仿宋" w:eastAsia="仿宋" w:cs="仿宋"/>
          <w:kern w:val="2"/>
          <w:sz w:val="28"/>
          <w:szCs w:val="28"/>
          <w:shd w:val="clear" w:color="auto" w:fill="FFFFFF"/>
        </w:rPr>
        <w:t>征收范围内建筑物性质、类别的认定工作由</w:t>
      </w:r>
      <w:r>
        <w:rPr>
          <w:rFonts w:hint="eastAsia" w:ascii="仿宋" w:hAnsi="仿宋" w:eastAsia="仿宋" w:cs="仿宋"/>
          <w:sz w:val="28"/>
          <w:szCs w:val="28"/>
          <w:shd w:val="clear" w:color="auto" w:fill="FFFFFF"/>
          <w:lang w:eastAsia="zh-CN"/>
        </w:rPr>
        <w:t>佗城镇人民政府</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龙川县自然资源局</w:t>
      </w:r>
      <w:r>
        <w:rPr>
          <w:rFonts w:hint="eastAsia" w:ascii="仿宋" w:hAnsi="仿宋" w:eastAsia="仿宋" w:cs="仿宋"/>
          <w:color w:val="auto"/>
          <w:kern w:val="2"/>
          <w:sz w:val="28"/>
          <w:szCs w:val="28"/>
          <w:shd w:val="clear" w:color="auto" w:fill="FFFFFF"/>
        </w:rPr>
        <w:t>负责。</w:t>
      </w:r>
    </w:p>
    <w:p>
      <w:pPr>
        <w:pStyle w:val="3"/>
        <w:numPr>
          <w:ilvl w:val="0"/>
          <w:numId w:val="0"/>
        </w:numPr>
        <w:tabs>
          <w:tab w:val="left" w:pos="560"/>
          <w:tab w:val="clear" w:pos="284"/>
        </w:tabs>
        <w:adjustRightInd w:val="0"/>
        <w:snapToGrid w:val="0"/>
        <w:jc w:val="both"/>
        <w:rPr>
          <w:rFonts w:hint="eastAsia" w:ascii="仿宋" w:hAnsi="仿宋" w:eastAsia="仿宋" w:cs="仿宋"/>
          <w:b w:val="0"/>
          <w:sz w:val="28"/>
          <w:szCs w:val="28"/>
          <w:shd w:val="clear" w:color="auto" w:fill="FFFFFF"/>
        </w:rPr>
      </w:pPr>
      <w:r>
        <w:rPr>
          <w:rFonts w:hint="eastAsia" w:ascii="仿宋" w:hAnsi="仿宋" w:eastAsia="仿宋" w:cs="仿宋"/>
          <w:b/>
          <w:bCs/>
          <w:sz w:val="28"/>
          <w:szCs w:val="28"/>
          <w:shd w:val="clear" w:color="auto" w:fill="FFFFFF"/>
        </w:rPr>
        <w:t>1.6</w:t>
      </w:r>
      <w:r>
        <w:rPr>
          <w:rFonts w:hint="eastAsia" w:ascii="仿宋" w:hAnsi="仿宋" w:eastAsia="仿宋" w:cs="仿宋"/>
          <w:b/>
          <w:bCs/>
          <w:sz w:val="28"/>
          <w:szCs w:val="28"/>
          <w:shd w:val="clear" w:color="auto" w:fill="FFFFFF"/>
          <w:lang w:val="en-US" w:eastAsia="zh-CN"/>
        </w:rPr>
        <w:t xml:space="preserve"> </w:t>
      </w:r>
      <w:r>
        <w:rPr>
          <w:rFonts w:hint="eastAsia" w:ascii="仿宋" w:hAnsi="仿宋" w:eastAsia="仿宋" w:cs="仿宋"/>
          <w:bCs/>
          <w:sz w:val="28"/>
          <w:szCs w:val="28"/>
          <w:shd w:val="clear" w:color="auto" w:fill="FFFFFF"/>
        </w:rPr>
        <w:t>签订征收补偿协议期限</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自发布征收决定公告之日起3个月内。</w:t>
      </w:r>
    </w:p>
    <w:p>
      <w:pPr>
        <w:pStyle w:val="3"/>
        <w:numPr>
          <w:ilvl w:val="0"/>
          <w:numId w:val="0"/>
        </w:numPr>
        <w:tabs>
          <w:tab w:val="left" w:pos="560"/>
          <w:tab w:val="clear" w:pos="284"/>
        </w:tabs>
        <w:adjustRightInd w:val="0"/>
        <w:snapToGrid w:val="0"/>
        <w:rPr>
          <w:rFonts w:hint="eastAsia" w:ascii="仿宋" w:hAnsi="仿宋" w:eastAsia="仿宋" w:cs="仿宋"/>
          <w:b w:val="0"/>
          <w:sz w:val="28"/>
          <w:szCs w:val="28"/>
          <w:shd w:val="clear" w:color="auto" w:fill="FFFFFF"/>
        </w:rPr>
      </w:pPr>
      <w:r>
        <w:rPr>
          <w:rFonts w:hint="eastAsia" w:ascii="仿宋" w:hAnsi="仿宋" w:eastAsia="仿宋" w:cs="仿宋"/>
          <w:b/>
          <w:bCs/>
          <w:sz w:val="28"/>
          <w:szCs w:val="28"/>
          <w:shd w:val="clear" w:color="auto" w:fill="FFFFFF"/>
        </w:rPr>
        <w:t>1.7</w:t>
      </w:r>
      <w:r>
        <w:rPr>
          <w:rFonts w:hint="eastAsia" w:ascii="仿宋" w:hAnsi="仿宋" w:eastAsia="仿宋" w:cs="仿宋"/>
          <w:b/>
          <w:bCs/>
          <w:sz w:val="28"/>
          <w:szCs w:val="28"/>
          <w:shd w:val="clear" w:color="auto" w:fill="FFFFFF"/>
          <w:lang w:val="en-US" w:eastAsia="zh-CN"/>
        </w:rPr>
        <w:t xml:space="preserve"> </w:t>
      </w:r>
      <w:r>
        <w:rPr>
          <w:rFonts w:hint="eastAsia" w:ascii="仿宋" w:hAnsi="仿宋" w:eastAsia="仿宋" w:cs="仿宋"/>
          <w:bCs/>
          <w:sz w:val="28"/>
          <w:szCs w:val="28"/>
          <w:shd w:val="clear" w:color="auto" w:fill="FFFFFF"/>
        </w:rPr>
        <w:t>搬迁腾空地上建筑物期限</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自签订协议之日起7天内。</w:t>
      </w:r>
    </w:p>
    <w:p>
      <w:pPr>
        <w:pStyle w:val="3"/>
        <w:numPr>
          <w:ilvl w:val="0"/>
          <w:numId w:val="0"/>
        </w:numPr>
        <w:tabs>
          <w:tab w:val="left" w:pos="560"/>
          <w:tab w:val="clear" w:pos="284"/>
        </w:tabs>
        <w:adjustRightInd w:val="0"/>
        <w:snapToGrid w:val="0"/>
        <w:rPr>
          <w:rFonts w:hint="eastAsia" w:ascii="仿宋" w:hAnsi="仿宋" w:eastAsia="仿宋" w:cs="仿宋"/>
          <w:b w:val="0"/>
          <w:sz w:val="28"/>
          <w:szCs w:val="28"/>
          <w:shd w:val="clear" w:color="auto" w:fill="FFFFFF"/>
        </w:rPr>
      </w:pPr>
      <w:r>
        <w:rPr>
          <w:rFonts w:hint="eastAsia" w:ascii="仿宋" w:hAnsi="仿宋" w:eastAsia="仿宋" w:cs="仿宋"/>
          <w:b/>
          <w:bCs/>
          <w:sz w:val="28"/>
          <w:szCs w:val="28"/>
          <w:shd w:val="clear" w:color="auto" w:fill="FFFFFF"/>
        </w:rPr>
        <w:t>1.8</w:t>
      </w:r>
      <w:r>
        <w:rPr>
          <w:rFonts w:hint="eastAsia" w:ascii="仿宋" w:hAnsi="仿宋" w:eastAsia="仿宋" w:cs="仿宋"/>
          <w:b/>
          <w:bCs/>
          <w:sz w:val="28"/>
          <w:szCs w:val="28"/>
          <w:shd w:val="clear" w:color="auto" w:fill="FFFFFF"/>
          <w:lang w:val="en-US" w:eastAsia="zh-CN"/>
        </w:rPr>
        <w:t xml:space="preserve"> </w:t>
      </w:r>
      <w:r>
        <w:rPr>
          <w:rFonts w:hint="eastAsia" w:ascii="仿宋" w:hAnsi="仿宋" w:eastAsia="仿宋" w:cs="仿宋"/>
          <w:bCs/>
          <w:sz w:val="28"/>
          <w:szCs w:val="28"/>
          <w:shd w:val="clear" w:color="auto" w:fill="FFFFFF"/>
        </w:rPr>
        <w:t>评估时点</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发布征收决定公告之日。</w:t>
      </w:r>
    </w:p>
    <w:p>
      <w:pPr>
        <w:pStyle w:val="3"/>
        <w:numPr>
          <w:ilvl w:val="0"/>
          <w:numId w:val="0"/>
        </w:numPr>
        <w:tabs>
          <w:tab w:val="left" w:pos="560"/>
          <w:tab w:val="clear" w:pos="284"/>
        </w:tabs>
        <w:adjustRightInd w:val="0"/>
        <w:snapToGrid w:val="0"/>
        <w:rPr>
          <w:rFonts w:hint="eastAsia" w:ascii="仿宋" w:hAnsi="仿宋" w:eastAsia="仿宋" w:cs="仿宋"/>
          <w:b w:val="0"/>
          <w:sz w:val="28"/>
          <w:szCs w:val="28"/>
          <w:shd w:val="clear" w:color="auto" w:fill="FFFFFF"/>
        </w:rPr>
      </w:pPr>
      <w:r>
        <w:rPr>
          <w:rFonts w:hint="eastAsia" w:ascii="仿宋" w:hAnsi="仿宋" w:eastAsia="仿宋" w:cs="仿宋"/>
          <w:b/>
          <w:bCs/>
          <w:sz w:val="28"/>
          <w:szCs w:val="28"/>
          <w:shd w:val="clear" w:color="auto" w:fill="FFFFFF"/>
        </w:rPr>
        <w:t>1.9</w:t>
      </w:r>
      <w:r>
        <w:rPr>
          <w:rFonts w:hint="eastAsia" w:ascii="仿宋" w:hAnsi="仿宋" w:eastAsia="仿宋" w:cs="仿宋"/>
          <w:b/>
          <w:bCs/>
          <w:sz w:val="28"/>
          <w:szCs w:val="28"/>
          <w:shd w:val="clear" w:color="auto" w:fill="FFFFFF"/>
          <w:lang w:val="en-US" w:eastAsia="zh-CN"/>
        </w:rPr>
        <w:t xml:space="preserve"> </w:t>
      </w:r>
      <w:r>
        <w:rPr>
          <w:rFonts w:hint="eastAsia" w:ascii="仿宋" w:hAnsi="仿宋" w:eastAsia="仿宋" w:cs="仿宋"/>
          <w:bCs/>
          <w:sz w:val="28"/>
          <w:szCs w:val="28"/>
          <w:shd w:val="clear" w:color="auto" w:fill="FFFFFF"/>
        </w:rPr>
        <w:t>候选价格评估机构(以下简称评估机构)</w:t>
      </w:r>
      <w:r>
        <w:rPr>
          <w:rFonts w:hint="eastAsia" w:ascii="仿宋" w:hAnsi="仿宋" w:eastAsia="仿宋" w:cs="仿宋"/>
          <w:b/>
          <w:bCs/>
          <w:sz w:val="28"/>
          <w:szCs w:val="28"/>
          <w:shd w:val="clear" w:color="auto" w:fill="FFFFFF"/>
        </w:rPr>
        <w:t xml:space="preserve"> </w:t>
      </w:r>
    </w:p>
    <w:p>
      <w:pPr>
        <w:numPr>
          <w:ilvl w:val="0"/>
          <w:numId w:val="3"/>
        </w:num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河源市正大资产土地房地产估价顾问有限公司</w:t>
      </w:r>
    </w:p>
    <w:p>
      <w:pPr>
        <w:numPr>
          <w:ilvl w:val="0"/>
          <w:numId w:val="3"/>
        </w:num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河源市恒立信房地产评估有限公司</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3、深圳市同致诚土地房地产估价顾问有限公司河源分公司</w:t>
      </w:r>
    </w:p>
    <w:p>
      <w:pPr>
        <w:pStyle w:val="3"/>
        <w:numPr>
          <w:ilvl w:val="0"/>
          <w:numId w:val="0"/>
        </w:numPr>
        <w:tabs>
          <w:tab w:val="left" w:pos="560"/>
          <w:tab w:val="clear" w:pos="284"/>
        </w:tabs>
        <w:adjustRightInd w:val="0"/>
        <w:snapToGrid w:val="0"/>
        <w:rPr>
          <w:rFonts w:hint="eastAsia" w:ascii="仿宋" w:hAnsi="仿宋" w:eastAsia="仿宋" w:cs="仿宋"/>
          <w:b w:val="0"/>
          <w:sz w:val="28"/>
          <w:szCs w:val="28"/>
          <w:shd w:val="clear" w:color="auto" w:fill="FFFFFF"/>
        </w:rPr>
      </w:pPr>
      <w:r>
        <w:rPr>
          <w:rFonts w:hint="eastAsia" w:ascii="仿宋" w:hAnsi="仿宋" w:eastAsia="仿宋" w:cs="仿宋"/>
          <w:b/>
          <w:bCs/>
          <w:sz w:val="28"/>
          <w:szCs w:val="28"/>
          <w:shd w:val="clear" w:color="auto" w:fill="FFFFFF"/>
        </w:rPr>
        <w:t>1.10</w:t>
      </w:r>
      <w:r>
        <w:rPr>
          <w:rFonts w:hint="eastAsia" w:ascii="仿宋" w:hAnsi="仿宋" w:eastAsia="仿宋" w:cs="仿宋"/>
          <w:b/>
          <w:bCs/>
          <w:sz w:val="28"/>
          <w:szCs w:val="28"/>
          <w:shd w:val="clear" w:color="auto" w:fill="FFFFFF"/>
          <w:lang w:val="en-US" w:eastAsia="zh-CN"/>
        </w:rPr>
        <w:t xml:space="preserve"> </w:t>
      </w:r>
      <w:r>
        <w:rPr>
          <w:rFonts w:hint="eastAsia" w:ascii="仿宋" w:hAnsi="仿宋" w:eastAsia="仿宋" w:cs="仿宋"/>
          <w:bCs/>
          <w:sz w:val="28"/>
          <w:szCs w:val="28"/>
          <w:shd w:val="clear" w:color="auto" w:fill="FFFFFF"/>
        </w:rPr>
        <w:t>征收实施步骤</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自发布本项目征收决定后，按照以下程序开展征收工作：</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(一)现场公示：</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1.《</w:t>
      </w: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sz w:val="28"/>
          <w:szCs w:val="28"/>
        </w:rPr>
        <w:t>征收</w:t>
      </w:r>
      <w:r>
        <w:rPr>
          <w:rFonts w:hint="eastAsia" w:ascii="仿宋" w:hAnsi="仿宋" w:eastAsia="仿宋" w:cs="仿宋"/>
          <w:sz w:val="28"/>
          <w:szCs w:val="28"/>
          <w:shd w:val="clear" w:color="auto" w:fill="FFFFFF"/>
        </w:rPr>
        <w:t>公告》；</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2.《</w:t>
      </w: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sz w:val="28"/>
          <w:szCs w:val="28"/>
          <w:shd w:val="clear" w:color="auto" w:fill="FFFFFF"/>
        </w:rPr>
        <w:t>房屋征收与补偿方案》；</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3.国家、省、市房屋征收与补偿有关的法规、规范性文件等；</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4.征收实施单位名称、征收工作人员名单等。</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(二)征收实施单位应将《</w:t>
      </w: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kern w:val="1"/>
          <w:sz w:val="28"/>
          <w:szCs w:val="28"/>
          <w:shd w:val="clear" w:color="auto" w:fill="FFFFFF"/>
        </w:rPr>
        <w:t>房屋征收与补偿方案</w:t>
      </w:r>
      <w:r>
        <w:rPr>
          <w:rFonts w:hint="eastAsia" w:ascii="仿宋" w:hAnsi="仿宋" w:eastAsia="仿宋" w:cs="仿宋"/>
          <w:sz w:val="28"/>
          <w:szCs w:val="28"/>
          <w:shd w:val="clear" w:color="auto" w:fill="FFFFFF"/>
        </w:rPr>
        <w:t>》发放给被征收人。</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(三)确定评估机构。评估机构由被征收人协商选定，协商不成的，由房屋征收部门组织被征收人通过多数决定、随机选定等方式确定。</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(四)评估机构对被征收范围内地上建筑物进行评估。被征收人应当协助注册房地产估价师对被征收进行实地查勘，提供或者协助搜集被征收地上建筑物价值评估所必需的情况和资料。</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五)公示初步评估结果。征收实施单位应当将初步评估结果在征收范围内向被征收人公示。公示期间，评估机构应当安排注册房地产估价师对初步评估结果进行现场说明解释。对评估结果有异议的，可以向房地产价格评估机构申请复核评估。对复核结果有异议的，可以向房地产价格评估专家委员会申请鉴定。</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(六)签约期限内，由征收实施单位与被征收人签订征收补偿协议。签订补偿协议时被征收人需带户口簿、身份证、营业执照等原件和复印件。</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(七)签约期限届满，被征收人未能达成补偿协议的，由房屋征收部门报请镇、县政府，按照征收补偿方案作出征收补偿决定，并在征收范围内予以公告。</w:t>
      </w:r>
    </w:p>
    <w:p>
      <w:pPr>
        <w:snapToGrid w:val="0"/>
        <w:spacing w:line="360" w:lineRule="auto"/>
        <w:ind w:firstLine="560" w:firstLineChars="200"/>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被征收人应当自觉履行地上建筑物征收补偿决定，如不服该征收补偿决定，可以在征收补偿决定作出之日起60日内依法申请行政复议，或者在6个月内向人民法院提起行政诉讼。</w:t>
      </w:r>
    </w:p>
    <w:p>
      <w:pPr>
        <w:snapToGrid w:val="0"/>
        <w:spacing w:line="360" w:lineRule="auto"/>
        <w:ind w:firstLine="420" w:firstLineChars="150"/>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被征收人在法定期限内既不申请行政复议又不提起行政诉讼，在补偿决定规定的期限内又不搬迁的，由县政府申请属地人民法院强制执行。</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(八)货币补偿在签订补偿协议并搬迁完毕，经征收工作人员验收后领取补偿款，补偿工作结束。</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(九)公布补偿结果。房屋征收部门应当建立征收补偿档案，并将补偿情况在征收范围内向被征收人公布。</w:t>
      </w:r>
    </w:p>
    <w:p>
      <w:pPr>
        <w:pStyle w:val="3"/>
        <w:numPr>
          <w:ilvl w:val="0"/>
          <w:numId w:val="0"/>
        </w:numPr>
        <w:tabs>
          <w:tab w:val="left" w:pos="560"/>
          <w:tab w:val="clear" w:pos="284"/>
        </w:tabs>
        <w:adjustRightInd w:val="0"/>
        <w:snapToGrid w:val="0"/>
        <w:rPr>
          <w:rFonts w:hint="eastAsia" w:ascii="仿宋" w:hAnsi="仿宋" w:eastAsia="仿宋" w:cs="仿宋"/>
          <w:b w:val="0"/>
          <w:sz w:val="28"/>
          <w:szCs w:val="28"/>
          <w:shd w:val="clear" w:color="auto" w:fill="FFFFFF"/>
        </w:rPr>
      </w:pPr>
      <w:r>
        <w:rPr>
          <w:rFonts w:hint="eastAsia" w:ascii="仿宋" w:hAnsi="仿宋" w:eastAsia="仿宋" w:cs="仿宋"/>
          <w:b/>
          <w:bCs/>
          <w:sz w:val="28"/>
          <w:szCs w:val="28"/>
          <w:shd w:val="clear" w:color="auto" w:fill="FFFFFF"/>
        </w:rPr>
        <w:t>1.11</w:t>
      </w:r>
      <w:r>
        <w:rPr>
          <w:rFonts w:hint="eastAsia" w:ascii="仿宋" w:hAnsi="仿宋" w:eastAsia="仿宋" w:cs="仿宋"/>
          <w:b/>
          <w:bCs/>
          <w:sz w:val="28"/>
          <w:szCs w:val="28"/>
          <w:shd w:val="clear" w:color="auto" w:fill="FFFFFF"/>
          <w:lang w:val="en-US" w:eastAsia="zh-CN"/>
        </w:rPr>
        <w:t xml:space="preserve"> </w:t>
      </w:r>
      <w:r>
        <w:rPr>
          <w:rFonts w:hint="eastAsia" w:ascii="仿宋" w:hAnsi="仿宋" w:eastAsia="仿宋" w:cs="仿宋"/>
          <w:bCs/>
          <w:sz w:val="28"/>
          <w:szCs w:val="28"/>
          <w:shd w:val="clear" w:color="auto" w:fill="FFFFFF"/>
        </w:rPr>
        <w:t>其他有关事项</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(一)被征收地上建筑物的水、电、固定电话、有线电视、宽带网络、管道燃气等迁移、转户、销户手续，由被征收人自行到有关部门申请办理，并负责结清已使用的水、电、电话、电视、燃气等费用。</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(二)征收权属不明确的地上建筑物，由房屋征收部门提出补偿方案，报镇、县政府同意，并向公证机关办理证据保全后实施征收，待产权明确后再补偿给产权所有人。</w:t>
      </w:r>
    </w:p>
    <w:p>
      <w:pPr>
        <w:snapToGrid w:val="0"/>
        <w:spacing w:line="360" w:lineRule="auto"/>
        <w:ind w:firstLine="486"/>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(三)本方案未列明事项按《河源市城市规划区房屋征收与补偿实施办法》(河府〔2017〕44号)及市、县政府相关文件执行。</w:t>
      </w:r>
    </w:p>
    <w:p>
      <w:pPr>
        <w:pStyle w:val="2"/>
        <w:snapToGrid w:val="0"/>
        <w:spacing w:before="0" w:after="0" w:line="360" w:lineRule="auto"/>
        <w:ind w:left="0" w:firstLine="0"/>
        <w:jc w:val="center"/>
        <w:rPr>
          <w:rFonts w:hint="eastAsia" w:ascii="仿宋" w:hAnsi="仿宋" w:eastAsia="仿宋" w:cs="仿宋"/>
          <w:bCs/>
          <w:sz w:val="36"/>
          <w:szCs w:val="36"/>
          <w:shd w:val="clear" w:color="auto" w:fill="FFFFFF"/>
        </w:rPr>
      </w:pPr>
      <w:bookmarkStart w:id="60" w:name="_Toc7324"/>
      <w:bookmarkStart w:id="61" w:name="_Toc21473"/>
      <w:bookmarkStart w:id="62" w:name="_Toc10761"/>
      <w:bookmarkStart w:id="63" w:name="_Toc3675"/>
      <w:bookmarkStart w:id="64" w:name="_Toc396227894"/>
      <w:bookmarkStart w:id="65" w:name="_Toc482714420"/>
      <w:bookmarkStart w:id="66" w:name="_Toc488153838"/>
      <w:bookmarkStart w:id="67" w:name="_Toc10626"/>
      <w:bookmarkStart w:id="68" w:name="_Toc8896"/>
      <w:r>
        <w:rPr>
          <w:rFonts w:hint="eastAsia" w:ascii="仿宋" w:hAnsi="仿宋" w:eastAsia="仿宋" w:cs="仿宋"/>
          <w:sz w:val="36"/>
          <w:szCs w:val="36"/>
          <w:shd w:val="clear" w:color="auto" w:fill="FFFFFF"/>
          <w:lang w:val="en-US" w:eastAsia="zh-CN"/>
        </w:rPr>
        <w:t xml:space="preserve"> </w:t>
      </w:r>
      <w:r>
        <w:rPr>
          <w:rFonts w:hint="eastAsia" w:ascii="仿宋" w:hAnsi="仿宋" w:eastAsia="仿宋" w:cs="仿宋"/>
          <w:sz w:val="36"/>
          <w:szCs w:val="36"/>
          <w:shd w:val="clear" w:color="auto" w:fill="FFFFFF"/>
        </w:rPr>
        <w:t>项目概况</w:t>
      </w:r>
      <w:bookmarkEnd w:id="60"/>
      <w:bookmarkEnd w:id="61"/>
      <w:bookmarkEnd w:id="62"/>
      <w:bookmarkEnd w:id="63"/>
      <w:bookmarkEnd w:id="64"/>
      <w:bookmarkEnd w:id="65"/>
      <w:bookmarkEnd w:id="66"/>
      <w:bookmarkEnd w:id="67"/>
      <w:bookmarkEnd w:id="68"/>
    </w:p>
    <w:p>
      <w:pPr>
        <w:pStyle w:val="3"/>
        <w:tabs>
          <w:tab w:val="left" w:pos="560"/>
          <w:tab w:val="clear" w:pos="284"/>
        </w:tabs>
        <w:adjustRightInd w:val="0"/>
        <w:snapToGrid w:val="0"/>
        <w:jc w:val="both"/>
        <w:rPr>
          <w:rFonts w:hint="eastAsia" w:ascii="仿宋" w:hAnsi="仿宋" w:eastAsia="仿宋" w:cs="仿宋"/>
          <w:b w:val="0"/>
          <w:bCs/>
          <w:sz w:val="28"/>
          <w:szCs w:val="28"/>
          <w:shd w:val="clear" w:color="auto" w:fill="FFFFFF"/>
        </w:rPr>
      </w:pPr>
      <w:bookmarkStart w:id="69" w:name="_Toc14696"/>
      <w:bookmarkStart w:id="70" w:name="_Toc482714421"/>
      <w:bookmarkStart w:id="71" w:name="_Toc488153839"/>
      <w:bookmarkStart w:id="72" w:name="_Toc396227895"/>
      <w:bookmarkStart w:id="73" w:name="_Toc27453"/>
      <w:bookmarkStart w:id="74" w:name="_Toc32616"/>
      <w:bookmarkStart w:id="75" w:name="_Toc3668"/>
      <w:bookmarkStart w:id="76" w:name="_Toc19134"/>
      <w:bookmarkStart w:id="77" w:name="_Toc955"/>
      <w:bookmarkStart w:id="78" w:name="_Toc31993"/>
      <w:r>
        <w:rPr>
          <w:rFonts w:hint="eastAsia" w:ascii="仿宋" w:hAnsi="仿宋" w:eastAsia="仿宋" w:cs="仿宋"/>
          <w:sz w:val="28"/>
          <w:szCs w:val="28"/>
          <w:shd w:val="clear" w:color="auto" w:fill="FFFFFF"/>
        </w:rPr>
        <w:t>征收范围</w:t>
      </w:r>
      <w:bookmarkEnd w:id="69"/>
      <w:bookmarkEnd w:id="70"/>
      <w:bookmarkEnd w:id="71"/>
      <w:bookmarkEnd w:id="72"/>
      <w:bookmarkEnd w:id="73"/>
      <w:bookmarkEnd w:id="74"/>
      <w:bookmarkEnd w:id="75"/>
      <w:bookmarkEnd w:id="76"/>
      <w:bookmarkEnd w:id="77"/>
      <w:bookmarkEnd w:id="78"/>
    </w:p>
    <w:p>
      <w:pPr>
        <w:keepNext w:val="0"/>
        <w:keepLines w:val="0"/>
        <w:pageBreakBefore w:val="0"/>
        <w:widowControl/>
        <w:kinsoku/>
        <w:overflowPunct/>
        <w:topLinePunct w:val="0"/>
        <w:autoSpaceDE/>
        <w:autoSpaceDN/>
        <w:bidi w:val="0"/>
        <w:adjustRightInd/>
        <w:snapToGrid/>
        <w:spacing w:line="240" w:lineRule="auto"/>
        <w:ind w:firstLine="0" w:firstLineChars="0"/>
        <w:textAlignment w:val="auto"/>
        <w:rPr>
          <w:rFonts w:hint="eastAsia" w:ascii="仿宋" w:hAnsi="仿宋" w:eastAsia="仿宋" w:cs="仿宋"/>
          <w:sz w:val="28"/>
          <w:szCs w:val="28"/>
          <w:lang w:val="en-US" w:eastAsia="zh-CN"/>
        </w:rPr>
      </w:pPr>
      <w:r>
        <w:rPr>
          <w:rFonts w:hint="eastAsia" w:ascii="仿宋" w:hAnsi="仿宋" w:eastAsia="仿宋" w:cs="仿宋"/>
          <w:kern w:val="0"/>
          <w:sz w:val="28"/>
          <w:szCs w:val="28"/>
          <w:shd w:val="clear" w:color="auto" w:fill="FFFFFF"/>
        </w:rPr>
        <w:t>　　本次</w:t>
      </w: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kern w:val="0"/>
          <w:sz w:val="28"/>
          <w:szCs w:val="28"/>
          <w:shd w:val="clear" w:color="auto" w:fill="FFFFFF"/>
          <w:lang w:eastAsia="zh-CN"/>
        </w:rPr>
        <w:t>被征收土地</w:t>
      </w:r>
      <w:r>
        <w:rPr>
          <w:rFonts w:hint="eastAsia" w:ascii="仿宋" w:hAnsi="仿宋" w:eastAsia="仿宋" w:cs="仿宋"/>
          <w:sz w:val="28"/>
          <w:szCs w:val="28"/>
          <w:lang w:val="en-US" w:eastAsia="zh-CN"/>
        </w:rPr>
        <w:t>位于广东省龙川县佗城镇大江村白照壁、江渡一、涧一、涧二、狮子寨经济合作社、大江经济合作社，新渡村车塘、干背底、各四、松仁下、新四经济合作社。</w:t>
      </w:r>
    </w:p>
    <w:p>
      <w:pPr>
        <w:snapToGrid w:val="0"/>
        <w:spacing w:line="360" w:lineRule="auto"/>
        <w:ind w:firstLine="560" w:firstLineChars="200"/>
      </w:pPr>
      <w:r>
        <w:rPr>
          <w:rFonts w:hint="eastAsia" w:ascii="仿宋" w:hAnsi="仿宋" w:eastAsia="仿宋" w:cs="仿宋"/>
          <w:sz w:val="28"/>
          <w:szCs w:val="28"/>
          <w:shd w:val="clear" w:color="auto" w:fill="FFFFFF"/>
        </w:rPr>
        <w:t>详见</w:t>
      </w:r>
      <w:r>
        <w:rPr>
          <w:rFonts w:hint="eastAsia" w:ascii="仿宋" w:hAnsi="仿宋" w:eastAsia="仿宋" w:cs="仿宋"/>
          <w:sz w:val="28"/>
          <w:szCs w:val="28"/>
          <w:shd w:val="clear" w:color="auto" w:fill="FFFFFF"/>
          <w:lang w:eastAsia="zh-CN"/>
        </w:rPr>
        <w:t>附件图</w:t>
      </w:r>
      <w:r>
        <w:rPr>
          <w:rFonts w:hint="eastAsia" w:ascii="仿宋" w:hAnsi="仿宋" w:eastAsia="仿宋" w:cs="仿宋"/>
          <w:sz w:val="28"/>
          <w:szCs w:val="28"/>
          <w:shd w:val="clear" w:color="auto" w:fill="FFFFFF"/>
        </w:rPr>
        <w:t>：</w:t>
      </w:r>
    </w:p>
    <w:p>
      <w:pPr>
        <w:snapToGrid w:val="0"/>
        <w:spacing w:line="360" w:lineRule="auto"/>
        <w:rPr>
          <w:rFonts w:hint="eastAsia" w:ascii="仿宋" w:hAnsi="仿宋" w:eastAsia="仿宋" w:cs="仿宋"/>
        </w:rPr>
      </w:pPr>
      <w:r>
        <w:drawing>
          <wp:inline distT="0" distB="0" distL="114300" distR="114300">
            <wp:extent cx="6353175" cy="41910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924" t="3403" r="1078" b="1361"/>
                    <a:stretch>
                      <a:fillRect/>
                    </a:stretch>
                  </pic:blipFill>
                  <pic:spPr>
                    <a:xfrm>
                      <a:off x="0" y="0"/>
                      <a:ext cx="6353175" cy="4191000"/>
                    </a:xfrm>
                    <a:prstGeom prst="rect">
                      <a:avLst/>
                    </a:prstGeom>
                    <a:noFill/>
                    <a:ln>
                      <a:noFill/>
                    </a:ln>
                  </pic:spPr>
                </pic:pic>
              </a:graphicData>
            </a:graphic>
          </wp:inline>
        </w:drawing>
      </w:r>
    </w:p>
    <w:p>
      <w:pPr>
        <w:pStyle w:val="3"/>
        <w:tabs>
          <w:tab w:val="left" w:pos="560"/>
          <w:tab w:val="clear" w:pos="284"/>
        </w:tabs>
        <w:adjustRightInd w:val="0"/>
        <w:snapToGrid w:val="0"/>
        <w:jc w:val="both"/>
        <w:rPr>
          <w:rFonts w:hint="eastAsia" w:ascii="仿宋" w:hAnsi="仿宋" w:eastAsia="仿宋" w:cs="仿宋"/>
          <w:b w:val="0"/>
          <w:bCs/>
          <w:sz w:val="28"/>
          <w:szCs w:val="28"/>
          <w:shd w:val="clear" w:color="auto" w:fill="FFFFFF"/>
        </w:rPr>
      </w:pPr>
      <w:bookmarkStart w:id="79" w:name="_Toc8757"/>
      <w:bookmarkStart w:id="80" w:name="_Toc2186"/>
      <w:bookmarkStart w:id="81" w:name="_Toc482714422"/>
      <w:bookmarkStart w:id="82" w:name="_Toc30344"/>
      <w:bookmarkStart w:id="83" w:name="_Toc396227896"/>
      <w:bookmarkStart w:id="84" w:name="_Toc488153840"/>
      <w:bookmarkStart w:id="85" w:name="_Toc32618"/>
      <w:bookmarkStart w:id="86" w:name="_Toc1373"/>
      <w:bookmarkStart w:id="87" w:name="_Toc2447"/>
      <w:bookmarkStart w:id="88" w:name="_Toc31892"/>
      <w:r>
        <w:rPr>
          <w:rFonts w:hint="eastAsia" w:ascii="仿宋" w:hAnsi="仿宋" w:eastAsia="仿宋" w:cs="仿宋"/>
          <w:sz w:val="28"/>
          <w:szCs w:val="28"/>
          <w:shd w:val="clear" w:color="auto" w:fill="FFFFFF"/>
        </w:rPr>
        <w:t>征收规模</w:t>
      </w:r>
      <w:bookmarkEnd w:id="79"/>
      <w:bookmarkEnd w:id="80"/>
      <w:bookmarkEnd w:id="81"/>
      <w:bookmarkEnd w:id="82"/>
      <w:bookmarkEnd w:id="83"/>
      <w:bookmarkEnd w:id="84"/>
      <w:bookmarkEnd w:id="85"/>
      <w:bookmarkEnd w:id="86"/>
      <w:bookmarkEnd w:id="87"/>
      <w:bookmarkEnd w:id="88"/>
    </w:p>
    <w:p>
      <w:pPr>
        <w:widowControl/>
        <w:numPr>
          <w:ilvl w:val="255"/>
          <w:numId w:val="0"/>
        </w:numPr>
        <w:spacing w:after="240"/>
        <w:ind w:firstLine="560" w:firstLineChars="200"/>
        <w:jc w:val="left"/>
        <w:rPr>
          <w:rFonts w:hint="eastAsia" w:ascii="仿宋" w:hAnsi="仿宋" w:eastAsia="仿宋" w:cs="仿宋"/>
          <w:kern w:val="0"/>
          <w:sz w:val="30"/>
          <w:szCs w:val="30"/>
          <w:shd w:val="clear" w:color="auto" w:fill="FFFFFF"/>
        </w:rPr>
      </w:pPr>
      <w:r>
        <w:rPr>
          <w:rFonts w:hint="eastAsia" w:ascii="仿宋" w:hAnsi="仿宋" w:eastAsia="仿宋" w:cs="仿宋"/>
          <w:sz w:val="28"/>
          <w:szCs w:val="28"/>
          <w:lang w:val="en-US" w:eastAsia="zh-CN"/>
        </w:rPr>
        <w:t>本项目征收土地面积合计373.572亩，其中早地0.36亩、林地1.0095亩、坑塘水面0.462亩、设施农用地0.4455亩、建设用地370.257、亩未利用地0.9855亩、国有建设用地0.0525亩，少量地上建筑、附着物。（具体界址按征地红线图为准）。</w:t>
      </w:r>
    </w:p>
    <w:p>
      <w:pPr>
        <w:snapToGrid w:val="0"/>
        <w:spacing w:before="0" w:after="0" w:line="360" w:lineRule="auto"/>
        <w:ind w:left="0" w:firstLine="0"/>
        <w:jc w:val="center"/>
        <w:rPr>
          <w:rFonts w:hint="eastAsia" w:ascii="仿宋" w:hAnsi="仿宋" w:eastAsia="仿宋" w:cs="仿宋"/>
          <w:bCs/>
          <w:sz w:val="36"/>
          <w:szCs w:val="36"/>
          <w:shd w:val="clear" w:color="auto" w:fill="FFFFFF"/>
        </w:rPr>
      </w:pPr>
      <w:bookmarkStart w:id="89" w:name="_Toc482714423"/>
      <w:bookmarkStart w:id="90" w:name="_Toc396227900"/>
      <w:bookmarkStart w:id="91" w:name="_Toc488153841"/>
      <w:bookmarkStart w:id="92" w:name="_Toc16717"/>
      <w:bookmarkStart w:id="93" w:name="_Toc12979"/>
      <w:bookmarkStart w:id="94" w:name="_Toc26752"/>
      <w:bookmarkStart w:id="95" w:name="_Toc22542"/>
      <w:bookmarkStart w:id="96" w:name="_Toc25847"/>
      <w:bookmarkStart w:id="97" w:name="_Toc2357"/>
      <w:r>
        <w:rPr>
          <w:rFonts w:hint="eastAsia" w:ascii="仿宋" w:hAnsi="仿宋" w:eastAsia="仿宋" w:cs="仿宋"/>
          <w:sz w:val="36"/>
          <w:szCs w:val="36"/>
          <w:shd w:val="clear" w:color="auto" w:fill="FFFFFF"/>
        </w:rPr>
        <w:br w:type="page"/>
      </w:r>
    </w:p>
    <w:p>
      <w:pPr>
        <w:pStyle w:val="2"/>
        <w:snapToGrid w:val="0"/>
        <w:spacing w:before="0" w:after="0" w:line="360" w:lineRule="auto"/>
        <w:ind w:left="0" w:firstLine="0"/>
        <w:jc w:val="center"/>
        <w:rPr>
          <w:rFonts w:hint="eastAsia" w:ascii="仿宋" w:hAnsi="仿宋" w:eastAsia="仿宋" w:cs="仿宋"/>
          <w:bCs/>
          <w:sz w:val="36"/>
          <w:szCs w:val="36"/>
          <w:shd w:val="clear" w:color="auto" w:fill="FFFFFF"/>
        </w:rPr>
      </w:pPr>
      <w:r>
        <w:rPr>
          <w:rFonts w:hint="eastAsia" w:ascii="仿宋" w:hAnsi="仿宋" w:eastAsia="仿宋" w:cs="仿宋"/>
          <w:sz w:val="36"/>
          <w:szCs w:val="36"/>
          <w:shd w:val="clear" w:color="auto" w:fill="FFFFFF"/>
          <w:lang w:val="en-US" w:eastAsia="zh-CN"/>
        </w:rPr>
        <w:t xml:space="preserve"> </w:t>
      </w:r>
      <w:r>
        <w:rPr>
          <w:rFonts w:hint="eastAsia" w:ascii="仿宋" w:hAnsi="仿宋" w:eastAsia="仿宋" w:cs="仿宋"/>
          <w:sz w:val="36"/>
          <w:szCs w:val="36"/>
          <w:shd w:val="clear" w:color="auto" w:fill="FFFFFF"/>
        </w:rPr>
        <w:t>货币补偿方案</w:t>
      </w:r>
      <w:bookmarkEnd w:id="89"/>
      <w:bookmarkEnd w:id="90"/>
      <w:bookmarkEnd w:id="91"/>
      <w:bookmarkEnd w:id="92"/>
      <w:bookmarkEnd w:id="93"/>
      <w:bookmarkEnd w:id="94"/>
      <w:bookmarkEnd w:id="95"/>
      <w:bookmarkEnd w:id="96"/>
      <w:bookmarkEnd w:id="97"/>
    </w:p>
    <w:p>
      <w:pPr>
        <w:pStyle w:val="3"/>
        <w:tabs>
          <w:tab w:val="left" w:pos="560"/>
        </w:tabs>
        <w:adjustRightInd w:val="0"/>
        <w:snapToGrid w:val="0"/>
        <w:jc w:val="both"/>
        <w:rPr>
          <w:rFonts w:hint="eastAsia" w:ascii="仿宋" w:hAnsi="仿宋" w:eastAsia="仿宋" w:cs="仿宋"/>
          <w:b w:val="0"/>
          <w:bCs/>
          <w:sz w:val="28"/>
          <w:szCs w:val="28"/>
          <w:shd w:val="clear" w:color="auto" w:fill="FFFFFF"/>
        </w:rPr>
      </w:pPr>
      <w:r>
        <w:rPr>
          <w:rFonts w:hint="eastAsia" w:ascii="仿宋" w:hAnsi="仿宋" w:eastAsia="仿宋" w:cs="仿宋"/>
          <w:sz w:val="28"/>
          <w:szCs w:val="28"/>
          <w:shd w:val="clear" w:color="auto" w:fill="FFFFFF"/>
        </w:rPr>
        <w:t>货币补偿</w:t>
      </w:r>
    </w:p>
    <w:p>
      <w:p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本征收房屋的补偿金额，由县自然资源局协同本征收人选定具有相应资质的房地产评估机构按照《</w:t>
      </w:r>
      <w:r>
        <w:rPr>
          <w:rFonts w:hint="eastAsia" w:ascii="仿宋" w:hAnsi="仿宋" w:eastAsia="仿宋" w:cs="仿宋"/>
          <w:kern w:val="1"/>
          <w:sz w:val="28"/>
          <w:szCs w:val="28"/>
          <w:shd w:val="clear" w:color="auto" w:fill="FFFFFF"/>
          <w:lang w:eastAsia="zh-CN"/>
        </w:rPr>
        <w:t>龙川县2007年度第二批次城镇建设用地</w:t>
      </w:r>
      <w:r>
        <w:rPr>
          <w:rFonts w:hint="eastAsia" w:ascii="仿宋" w:hAnsi="仿宋" w:eastAsia="仿宋" w:cs="仿宋"/>
          <w:kern w:val="1"/>
          <w:sz w:val="28"/>
          <w:szCs w:val="28"/>
          <w:shd w:val="clear" w:color="auto" w:fill="FFFFFF"/>
        </w:rPr>
        <w:t>房屋征收项目补偿方案</w:t>
      </w:r>
      <w:r>
        <w:rPr>
          <w:rFonts w:hint="eastAsia" w:ascii="仿宋" w:hAnsi="仿宋" w:eastAsia="仿宋" w:cs="仿宋"/>
          <w:sz w:val="28"/>
          <w:szCs w:val="28"/>
          <w:shd w:val="clear" w:color="auto" w:fill="FFFFFF"/>
        </w:rPr>
        <w:t>》进行评估确定。</w:t>
      </w:r>
    </w:p>
    <w:p>
      <w:p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货币补偿，补偿费在签订征收补偿协议一次性支付100%；被征收人必须在七天内搬迁完毕、腾空地上建筑物。</w:t>
      </w:r>
    </w:p>
    <w:p>
      <w:pPr>
        <w:snapToGrid w:val="0"/>
        <w:spacing w:line="360" w:lineRule="auto"/>
        <w:ind w:firstLine="560" w:firstLineChars="200"/>
        <w:rPr>
          <w:rFonts w:hint="eastAsia" w:ascii="仿宋" w:hAnsi="仿宋" w:eastAsia="仿宋" w:cs="仿宋"/>
          <w:sz w:val="28"/>
          <w:szCs w:val="28"/>
          <w:shd w:val="clear" w:color="auto" w:fill="FFFFFF"/>
        </w:rPr>
      </w:pPr>
    </w:p>
    <w:p>
      <w:pPr>
        <w:pStyle w:val="3"/>
        <w:tabs>
          <w:tab w:val="left" w:pos="560"/>
        </w:tabs>
        <w:adjustRightInd w:val="0"/>
        <w:snapToGrid w:val="0"/>
        <w:jc w:val="both"/>
        <w:rPr>
          <w:rFonts w:hint="eastAsia" w:ascii="仿宋" w:hAnsi="仿宋" w:eastAsia="仿宋" w:cs="仿宋"/>
          <w:b w:val="0"/>
          <w:bCs/>
          <w:sz w:val="28"/>
          <w:szCs w:val="28"/>
          <w:shd w:val="clear" w:color="auto" w:fill="FFFFFF"/>
        </w:rPr>
      </w:pPr>
      <w:r>
        <w:rPr>
          <w:rFonts w:hint="eastAsia" w:ascii="仿宋" w:hAnsi="仿宋" w:eastAsia="仿宋" w:cs="仿宋"/>
          <w:sz w:val="28"/>
          <w:szCs w:val="28"/>
          <w:shd w:val="clear" w:color="auto" w:fill="FFFFFF"/>
        </w:rPr>
        <w:t>其他补偿、补助费用</w:t>
      </w:r>
    </w:p>
    <w:p>
      <w:pPr>
        <w:pStyle w:val="4"/>
        <w:numPr>
          <w:ilvl w:val="-1"/>
          <w:numId w:val="0"/>
        </w:numPr>
        <w:tabs>
          <w:tab w:val="left" w:pos="420"/>
        </w:tabs>
        <w:adjustRightInd w:val="0"/>
        <w:snapToGrid w:val="0"/>
        <w:spacing w:before="0" w:after="0" w:line="360" w:lineRule="auto"/>
        <w:ind w:left="420" w:leftChars="200" w:firstLine="0" w:firstLineChars="0"/>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1、</w:t>
      </w:r>
      <w:r>
        <w:rPr>
          <w:rFonts w:hint="eastAsia" w:ascii="仿宋" w:hAnsi="仿宋" w:eastAsia="仿宋" w:cs="仿宋"/>
          <w:sz w:val="28"/>
          <w:szCs w:val="28"/>
          <w:shd w:val="clear" w:color="auto" w:fill="FFFFFF"/>
        </w:rPr>
        <w:t>临时建（构）筑物及地上附着物</w:t>
      </w:r>
    </w:p>
    <w:p>
      <w:pPr>
        <w:spacing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rPr>
        <w:t>以不重复补偿为原则，地上构筑（附着）物已通过本方案的有关规定获得补偿的，不再补偿；未获补偿的，按照重置价评估给予货币补偿。</w:t>
      </w:r>
    </w:p>
    <w:p>
      <w:pPr>
        <w:pStyle w:val="4"/>
        <w:numPr>
          <w:ilvl w:val="-1"/>
          <w:numId w:val="0"/>
        </w:numPr>
        <w:tabs>
          <w:tab w:val="left" w:pos="420"/>
        </w:tabs>
        <w:adjustRightInd w:val="0"/>
        <w:snapToGrid w:val="0"/>
        <w:spacing w:before="0" w:after="0"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2、</w:t>
      </w:r>
      <w:r>
        <w:rPr>
          <w:rFonts w:hint="eastAsia" w:ascii="仿宋" w:hAnsi="仿宋" w:eastAsia="仿宋" w:cs="仿宋"/>
          <w:sz w:val="28"/>
          <w:szCs w:val="28"/>
          <w:shd w:val="clear" w:color="auto" w:fill="FFFFFF"/>
        </w:rPr>
        <w:t>室内自行装饰装修（二次装修）</w:t>
      </w:r>
    </w:p>
    <w:p>
      <w:pPr>
        <w:snapToGrid w:val="0"/>
        <w:spacing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被征收地上建筑物室内自行装修装饰费补偿，按照评估确定的重置成新价给予补偿。若装修档次不符按照评估公司现场评估为准。</w:t>
      </w:r>
    </w:p>
    <w:p>
      <w:pPr>
        <w:pStyle w:val="4"/>
        <w:numPr>
          <w:ilvl w:val="-1"/>
          <w:numId w:val="0"/>
        </w:numPr>
        <w:tabs>
          <w:tab w:val="left" w:pos="420"/>
        </w:tabs>
        <w:adjustRightInd w:val="0"/>
        <w:snapToGrid w:val="0"/>
        <w:spacing w:before="0" w:after="0"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3、</w:t>
      </w:r>
      <w:r>
        <w:rPr>
          <w:rFonts w:hint="eastAsia" w:ascii="仿宋" w:hAnsi="仿宋" w:eastAsia="仿宋" w:cs="仿宋"/>
          <w:sz w:val="28"/>
          <w:szCs w:val="28"/>
          <w:shd w:val="clear" w:color="auto" w:fill="FFFFFF"/>
        </w:rPr>
        <w:t>三线一管迁移费</w:t>
      </w:r>
    </w:p>
    <w:p>
      <w:pPr>
        <w:spacing w:line="360" w:lineRule="auto"/>
        <w:ind w:left="420" w:leftChars="200" w:firstLine="0" w:firstLineChars="0"/>
        <w:rPr>
          <w:rFonts w:hint="eastAsia" w:ascii="仿宋" w:hAnsi="仿宋" w:eastAsia="仿宋" w:cs="仿宋"/>
          <w:sz w:val="28"/>
          <w:szCs w:val="28"/>
        </w:rPr>
      </w:pPr>
      <w:r>
        <w:rPr>
          <w:rFonts w:hint="eastAsia" w:ascii="仿宋" w:hAnsi="仿宋" w:eastAsia="仿宋" w:cs="仿宋"/>
          <w:sz w:val="28"/>
          <w:szCs w:val="28"/>
          <w:shd w:val="clear" w:color="auto" w:fill="FFFFFF"/>
        </w:rPr>
        <w:t>因地上建筑物征收造成的三线一管迁移每户补偿迁移费1</w:t>
      </w:r>
      <w:r>
        <w:rPr>
          <w:rFonts w:hint="eastAsia" w:ascii="仿宋" w:hAnsi="仿宋" w:eastAsia="仿宋" w:cs="仿宋"/>
          <w:sz w:val="28"/>
          <w:szCs w:val="28"/>
          <w:shd w:val="clear" w:color="auto" w:fill="FFFFFF"/>
          <w:lang w:val="en-US" w:eastAsia="zh-CN"/>
        </w:rPr>
        <w:t>8</w:t>
      </w:r>
      <w:r>
        <w:rPr>
          <w:rFonts w:hint="eastAsia" w:ascii="仿宋" w:hAnsi="仿宋" w:eastAsia="仿宋" w:cs="仿宋"/>
          <w:sz w:val="28"/>
          <w:szCs w:val="28"/>
          <w:shd w:val="clear" w:color="auto" w:fill="FFFFFF"/>
        </w:rPr>
        <w:t>00元</w:t>
      </w:r>
      <w:r>
        <w:rPr>
          <w:rFonts w:hint="eastAsia" w:ascii="仿宋" w:hAnsi="仿宋" w:eastAsia="仿宋" w:cs="仿宋"/>
          <w:sz w:val="28"/>
          <w:szCs w:val="28"/>
          <w:shd w:val="clear" w:color="auto" w:fill="FFFFFF"/>
          <w:lang w:val="en-US" w:eastAsia="zh-CN"/>
        </w:rPr>
        <w:t>/户</w:t>
      </w:r>
      <w:r>
        <w:rPr>
          <w:rFonts w:hint="eastAsia" w:ascii="仿宋" w:hAnsi="仿宋" w:eastAsia="仿宋" w:cs="仿宋"/>
          <w:sz w:val="28"/>
          <w:szCs w:val="28"/>
          <w:shd w:val="clear" w:color="auto" w:fill="FFFFFF"/>
        </w:rPr>
        <w:t>。</w:t>
      </w:r>
    </w:p>
    <w:p>
      <w:pPr>
        <w:pStyle w:val="4"/>
        <w:numPr>
          <w:ilvl w:val="-1"/>
          <w:numId w:val="0"/>
        </w:numPr>
        <w:tabs>
          <w:tab w:val="left" w:pos="420"/>
        </w:tabs>
        <w:adjustRightInd w:val="0"/>
        <w:snapToGrid w:val="0"/>
        <w:spacing w:before="0" w:after="0"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4、</w:t>
      </w:r>
      <w:r>
        <w:rPr>
          <w:rFonts w:hint="eastAsia" w:ascii="仿宋" w:hAnsi="仿宋" w:eastAsia="仿宋" w:cs="仿宋"/>
          <w:sz w:val="28"/>
          <w:szCs w:val="28"/>
          <w:shd w:val="clear" w:color="auto" w:fill="FFFFFF"/>
        </w:rPr>
        <w:t>搬迁费</w:t>
      </w:r>
    </w:p>
    <w:p>
      <w:pPr>
        <w:snapToGrid w:val="0"/>
        <w:spacing w:line="360" w:lineRule="auto"/>
        <w:ind w:left="420" w:leftChars="200" w:firstLine="0" w:firstLineChars="0"/>
        <w:rPr>
          <w:rFonts w:hint="eastAsia" w:ascii="仿宋" w:hAnsi="仿宋" w:eastAsia="仿宋" w:cs="仿宋"/>
          <w:sz w:val="28"/>
          <w:szCs w:val="28"/>
          <w:shd w:val="clear" w:color="auto" w:fill="FFFFFF"/>
          <w:lang w:eastAsia="zh-CN"/>
        </w:rPr>
      </w:pPr>
      <w:r>
        <w:rPr>
          <w:rFonts w:hint="eastAsia" w:ascii="仿宋" w:hAnsi="仿宋" w:eastAsia="仿宋" w:cs="仿宋"/>
          <w:sz w:val="28"/>
          <w:szCs w:val="28"/>
          <w:shd w:val="clear" w:color="auto" w:fill="FFFFFF"/>
        </w:rPr>
        <w:t>因征收地上建筑物造成搬迁的，一次性补偿搬迁费用，搬迁补助费按</w:t>
      </w:r>
      <w:r>
        <w:rPr>
          <w:rFonts w:hint="eastAsia" w:ascii="仿宋" w:hAnsi="仿宋" w:eastAsia="仿宋" w:cs="仿宋"/>
          <w:sz w:val="28"/>
          <w:szCs w:val="28"/>
          <w:shd w:val="clear" w:color="auto" w:fill="FFFFFF"/>
          <w:lang w:val="en-US" w:eastAsia="zh-CN"/>
        </w:rPr>
        <w:t>20</w:t>
      </w:r>
      <w:r>
        <w:rPr>
          <w:rFonts w:hint="eastAsia" w:ascii="仿宋" w:hAnsi="仿宋" w:eastAsia="仿宋" w:cs="仿宋"/>
          <w:sz w:val="28"/>
          <w:szCs w:val="28"/>
          <w:shd w:val="clear" w:color="auto" w:fill="FFFFFF"/>
        </w:rPr>
        <w:t>00元/户补偿</w:t>
      </w:r>
      <w:r>
        <w:rPr>
          <w:rFonts w:hint="eastAsia" w:ascii="仿宋" w:hAnsi="仿宋" w:eastAsia="仿宋" w:cs="仿宋"/>
          <w:sz w:val="28"/>
          <w:szCs w:val="28"/>
          <w:shd w:val="clear" w:color="auto" w:fill="FFFFFF"/>
          <w:lang w:eastAsia="zh-CN"/>
        </w:rPr>
        <w:t>。</w:t>
      </w:r>
    </w:p>
    <w:p>
      <w:pPr>
        <w:snapToGrid w:val="0"/>
        <w:spacing w:line="360" w:lineRule="auto"/>
        <w:ind w:left="420" w:leftChars="200" w:firstLine="0" w:firstLineChars="0"/>
        <w:rPr>
          <w:rFonts w:hint="default"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lang w:val="en-US" w:eastAsia="zh-CN"/>
        </w:rPr>
        <w:t>5、</w:t>
      </w:r>
      <w:r>
        <w:rPr>
          <w:rFonts w:hint="default" w:ascii="仿宋" w:hAnsi="仿宋" w:eastAsia="仿宋" w:cs="仿宋"/>
          <w:b/>
          <w:bCs/>
          <w:sz w:val="28"/>
          <w:szCs w:val="28"/>
          <w:shd w:val="clear" w:color="auto" w:fill="FFFFFF"/>
        </w:rPr>
        <w:t>临时安置费</w:t>
      </w:r>
    </w:p>
    <w:p>
      <w:pPr>
        <w:snapToGrid w:val="0"/>
        <w:spacing w:line="360" w:lineRule="auto"/>
        <w:ind w:left="420" w:leftChars="200" w:firstLine="0" w:firstLineChars="0"/>
        <w:rPr>
          <w:rFonts w:hint="default" w:ascii="仿宋" w:hAnsi="仿宋" w:eastAsia="仿宋" w:cs="仿宋"/>
          <w:sz w:val="28"/>
          <w:szCs w:val="28"/>
          <w:shd w:val="clear" w:color="auto" w:fill="FFFFFF"/>
        </w:rPr>
      </w:pPr>
      <w:r>
        <w:rPr>
          <w:rFonts w:hint="default" w:ascii="仿宋" w:hAnsi="仿宋" w:eastAsia="仿宋" w:cs="仿宋"/>
          <w:sz w:val="28"/>
          <w:szCs w:val="28"/>
          <w:shd w:val="clear" w:color="auto" w:fill="FFFFFF"/>
        </w:rPr>
        <w:t>征收建筑物被认定为居住性质的临时过渡方式一律采取发放临时安置补偿费用，由被征收人自行解决过渡期居住问题，费用按</w:t>
      </w:r>
      <w:r>
        <w:rPr>
          <w:rFonts w:hint="default" w:ascii="仿宋" w:hAnsi="仿宋" w:eastAsia="仿宋" w:cs="仿宋"/>
          <w:i w:val="0"/>
          <w:kern w:val="2"/>
          <w:sz w:val="28"/>
          <w:szCs w:val="28"/>
          <w:u w:val="none"/>
          <w:shd w:val="clear" w:color="auto" w:fill="FFFFFF"/>
          <w:lang w:val="en-US" w:eastAsia="zh-CN" w:bidi="ar"/>
        </w:rPr>
        <w:t>800元/月/户</w:t>
      </w:r>
      <w:r>
        <w:rPr>
          <w:rFonts w:hint="default" w:ascii="仿宋" w:hAnsi="仿宋" w:eastAsia="仿宋" w:cs="仿宋"/>
          <w:sz w:val="28"/>
          <w:szCs w:val="28"/>
          <w:shd w:val="clear" w:color="auto" w:fill="FFFFFF"/>
        </w:rPr>
        <w:t>计算。按一年过度时限算，一次性支付。</w:t>
      </w:r>
    </w:p>
    <w:p>
      <w:pPr>
        <w:snapToGrid w:val="0"/>
        <w:spacing w:line="360" w:lineRule="auto"/>
        <w:ind w:firstLine="560" w:firstLineChars="200"/>
        <w:rPr>
          <w:rFonts w:hint="default" w:ascii="仿宋" w:hAnsi="仿宋" w:eastAsia="仿宋" w:cs="仿宋"/>
          <w:sz w:val="28"/>
          <w:szCs w:val="28"/>
          <w:shd w:val="clear" w:color="auto" w:fill="FFFFFF"/>
        </w:rPr>
      </w:pPr>
    </w:p>
    <w:p>
      <w:pPr>
        <w:numPr>
          <w:ilvl w:val="0"/>
          <w:numId w:val="4"/>
        </w:numPr>
        <w:jc w:val="center"/>
        <w:rPr>
          <w:rFonts w:hint="eastAsia" w:ascii="仿宋" w:hAnsi="仿宋" w:eastAsia="仿宋" w:cs="仿宋"/>
          <w:b/>
          <w:bCs/>
          <w:sz w:val="36"/>
          <w:szCs w:val="36"/>
          <w:shd w:val="clear" w:color="auto" w:fill="FFFFFF"/>
          <w:lang w:eastAsia="zh-CN"/>
        </w:rPr>
      </w:pPr>
      <w:r>
        <w:rPr>
          <w:rFonts w:hint="eastAsia" w:ascii="仿宋" w:hAnsi="仿宋" w:eastAsia="仿宋" w:cs="仿宋"/>
          <w:b/>
          <w:bCs/>
          <w:sz w:val="36"/>
          <w:szCs w:val="36"/>
          <w:shd w:val="clear" w:color="auto" w:fill="FFFFFF"/>
          <w:lang w:eastAsia="zh-CN"/>
        </w:rPr>
        <w:t>产权调换方案</w:t>
      </w:r>
    </w:p>
    <w:p>
      <w:pPr>
        <w:pStyle w:val="3"/>
        <w:numPr>
          <w:ilvl w:val="1"/>
          <w:numId w:val="0"/>
        </w:numPr>
        <w:tabs>
          <w:tab w:val="clear" w:pos="4800"/>
        </w:tabs>
        <w:rPr>
          <w:rFonts w:ascii="仿宋" w:hAnsi="仿宋" w:eastAsia="仿宋" w:cs="仿宋"/>
          <w:b/>
          <w:bCs/>
          <w:kern w:val="2"/>
          <w:sz w:val="28"/>
          <w:szCs w:val="28"/>
          <w:shd w:val="clear" w:color="auto" w:fill="FFFFFF"/>
        </w:rPr>
      </w:pPr>
      <w:r>
        <w:rPr>
          <w:rFonts w:hint="eastAsia" w:ascii="仿宋" w:hAnsi="仿宋" w:eastAsia="仿宋" w:cs="仿宋"/>
          <w:b/>
          <w:bCs/>
          <w:kern w:val="2"/>
          <w:sz w:val="28"/>
          <w:szCs w:val="28"/>
          <w:shd w:val="clear" w:color="auto" w:fill="FFFFFF"/>
          <w:lang w:eastAsia="zh-CN"/>
        </w:rPr>
        <w:t>4</w:t>
      </w:r>
      <w:r>
        <w:rPr>
          <w:rFonts w:hint="eastAsia" w:ascii="仿宋" w:hAnsi="仿宋" w:eastAsia="仿宋" w:cs="仿宋"/>
          <w:b/>
          <w:bCs/>
          <w:kern w:val="2"/>
          <w:sz w:val="28"/>
          <w:szCs w:val="28"/>
          <w:shd w:val="clear" w:color="auto" w:fill="FFFFFF"/>
          <w:lang w:val="en-US" w:eastAsia="zh-CN"/>
        </w:rPr>
        <w:t>.1</w:t>
      </w:r>
      <w:r>
        <w:rPr>
          <w:rFonts w:hint="default" w:ascii="仿宋" w:hAnsi="仿宋" w:eastAsia="仿宋" w:cs="仿宋"/>
          <w:b/>
          <w:bCs/>
          <w:kern w:val="2"/>
          <w:sz w:val="28"/>
          <w:szCs w:val="28"/>
          <w:shd w:val="clear" w:color="auto" w:fill="FFFFFF"/>
        </w:rPr>
        <w:t>产权调换</w:t>
      </w:r>
    </w:p>
    <w:p>
      <w:pPr>
        <w:ind w:firstLine="560" w:firstLineChars="200"/>
        <w:jc w:val="left"/>
        <w:rPr>
          <w:rFonts w:ascii="仿宋" w:hAnsi="仿宋" w:eastAsia="仿宋" w:cs="仿宋"/>
          <w:sz w:val="28"/>
          <w:szCs w:val="28"/>
          <w:shd w:val="clear" w:color="auto" w:fill="FFFFFF"/>
        </w:rPr>
      </w:pPr>
      <w:r>
        <w:rPr>
          <w:rFonts w:hint="default" w:ascii="仿宋" w:hAnsi="仿宋" w:eastAsia="仿宋" w:cs="仿宋"/>
          <w:sz w:val="28"/>
          <w:szCs w:val="28"/>
          <w:shd w:val="clear" w:color="auto" w:fill="FFFFFF"/>
        </w:rPr>
        <w:t>根据《国有土地上房屋征收与补偿条例》（国务院令2011第590号）及《河源市城市规划区房屋征收与补偿实施办法》(河府〔2017〕44号)等法律法规的有关规定。被征收房屋的面积、结构、占地、年限等情况按一定的比例进行调换。本次以宅基地</w:t>
      </w:r>
      <w:r>
        <w:rPr>
          <w:rFonts w:hint="eastAsia" w:ascii="仿宋" w:hAnsi="仿宋" w:eastAsia="仿宋" w:cs="仿宋"/>
          <w:sz w:val="28"/>
          <w:szCs w:val="28"/>
          <w:shd w:val="clear" w:color="auto" w:fill="FFFFFF"/>
          <w:lang w:eastAsia="zh-CN"/>
        </w:rPr>
        <w:t>置换</w:t>
      </w:r>
      <w:r>
        <w:rPr>
          <w:rFonts w:hint="default" w:ascii="仿宋" w:hAnsi="仿宋" w:eastAsia="仿宋" w:cs="仿宋"/>
          <w:sz w:val="28"/>
          <w:szCs w:val="28"/>
          <w:shd w:val="clear" w:color="auto" w:fill="FFFFFF"/>
        </w:rPr>
        <w:t>作为安置方式。有合法产权证的，按证载面积确定；按宅基地面积1：1标准调换宅基地；无合法产权证的，由</w:t>
      </w:r>
      <w:r>
        <w:rPr>
          <w:rFonts w:hint="eastAsia" w:ascii="仿宋" w:hAnsi="仿宋" w:eastAsia="仿宋" w:cs="仿宋"/>
          <w:sz w:val="28"/>
          <w:szCs w:val="28"/>
          <w:shd w:val="clear" w:color="auto" w:fill="FFFFFF"/>
          <w:lang w:eastAsia="zh-CN"/>
        </w:rPr>
        <w:t>佗城镇人民政府</w:t>
      </w:r>
      <w:r>
        <w:rPr>
          <w:rFonts w:hint="eastAsia" w:ascii="仿宋" w:hAnsi="仿宋" w:eastAsia="仿宋" w:cs="仿宋"/>
          <w:sz w:val="28"/>
          <w:szCs w:val="28"/>
          <w:shd w:val="clear" w:color="auto" w:fill="FFFFFF"/>
        </w:rPr>
        <w:t>、</w:t>
      </w:r>
      <w:r>
        <w:rPr>
          <w:rFonts w:hint="eastAsia" w:ascii="仿宋" w:hAnsi="仿宋" w:eastAsia="仿宋" w:cs="仿宋"/>
          <w:sz w:val="28"/>
          <w:szCs w:val="28"/>
          <w:shd w:val="clear" w:color="auto" w:fill="FFFFFF"/>
          <w:lang w:eastAsia="zh-CN"/>
        </w:rPr>
        <w:t>龙川县自然资源局</w:t>
      </w:r>
      <w:r>
        <w:rPr>
          <w:rFonts w:hint="eastAsia" w:ascii="仿宋" w:hAnsi="仿宋" w:eastAsia="仿宋" w:cs="仿宋"/>
          <w:kern w:val="2"/>
          <w:sz w:val="28"/>
          <w:szCs w:val="28"/>
          <w:shd w:val="clear" w:color="auto" w:fill="FFFFFF"/>
        </w:rPr>
        <w:t>负责</w:t>
      </w:r>
      <w:r>
        <w:rPr>
          <w:rFonts w:hint="eastAsia" w:ascii="仿宋" w:hAnsi="仿宋" w:eastAsia="仿宋" w:cs="仿宋"/>
          <w:color w:val="0000FF"/>
          <w:sz w:val="28"/>
          <w:szCs w:val="28"/>
          <w:shd w:val="clear" w:color="auto" w:fill="FFFFFF"/>
          <w:lang w:eastAsia="zh-CN"/>
        </w:rPr>
        <w:t>认</w:t>
      </w:r>
      <w:r>
        <w:rPr>
          <w:rFonts w:hint="default" w:ascii="仿宋" w:hAnsi="仿宋" w:eastAsia="仿宋" w:cs="仿宋"/>
          <w:sz w:val="28"/>
          <w:szCs w:val="28"/>
          <w:shd w:val="clear" w:color="auto" w:fill="FFFFFF"/>
        </w:rPr>
        <w:t>定。建筑物按市场评估标准给予补偿。在土地未安置到位之前，征收人支付被征收人过渡安置费用。除注明产权调换为商业楼外，其他均为住宅产权调换。各种类型房屋调换以房地产权证为准，办法如下：</w:t>
      </w:r>
    </w:p>
    <w:p>
      <w:pPr>
        <w:ind w:firstLine="560" w:firstLineChars="200"/>
        <w:jc w:val="left"/>
        <w:rPr>
          <w:rFonts w:ascii="仿宋" w:hAnsi="仿宋" w:eastAsia="仿宋" w:cs="仿宋"/>
          <w:sz w:val="28"/>
          <w:szCs w:val="28"/>
          <w:shd w:val="clear" w:color="auto" w:fill="FFFFFF"/>
        </w:rPr>
      </w:pPr>
      <w:r>
        <w:rPr>
          <w:rFonts w:hint="default" w:ascii="仿宋" w:hAnsi="仿宋" w:eastAsia="仿宋" w:cs="仿宋"/>
          <w:sz w:val="28"/>
          <w:szCs w:val="28"/>
          <w:shd w:val="clear" w:color="auto" w:fill="FFFFFF"/>
        </w:rPr>
        <w:t>按被征收人所持有的《房屋所有权证》上述标示的产权面积作为调换基数，分别调换如下：</w:t>
      </w:r>
    </w:p>
    <w:p>
      <w:pPr>
        <w:ind w:firstLine="560" w:firstLineChars="200"/>
        <w:jc w:val="left"/>
        <w:rPr>
          <w:rFonts w:ascii="仿宋" w:hAnsi="仿宋" w:eastAsia="仿宋" w:cs="仿宋"/>
          <w:b w:val="0"/>
          <w:bCs w:val="0"/>
          <w:sz w:val="28"/>
          <w:szCs w:val="28"/>
          <w:shd w:val="clear" w:color="auto" w:fill="FFFFFF"/>
        </w:rPr>
      </w:pPr>
      <w:r>
        <w:rPr>
          <w:rFonts w:hint="default" w:ascii="仿宋" w:hAnsi="仿宋" w:eastAsia="仿宋" w:cs="仿宋"/>
          <w:b w:val="0"/>
          <w:sz w:val="28"/>
          <w:szCs w:val="28"/>
          <w:shd w:val="clear" w:color="auto" w:fill="FFFFFF"/>
        </w:rPr>
        <w:t>自建房屋为住宅用途的：</w:t>
      </w:r>
      <w:r>
        <w:rPr>
          <w:rFonts w:hint="default" w:ascii="仿宋" w:hAnsi="仿宋" w:eastAsia="仿宋" w:cs="仿宋"/>
          <w:sz w:val="28"/>
          <w:szCs w:val="28"/>
          <w:shd w:val="clear" w:color="auto" w:fill="FFFFFF"/>
        </w:rPr>
        <w:t>根据被征房屋占地面积按1：1标准安置宅基地土地，地上建筑物根据征收补偿标准，根据建筑物类型补偿重置成本。</w:t>
      </w:r>
    </w:p>
    <w:p>
      <w:pPr>
        <w:snapToGrid w:val="0"/>
        <w:spacing w:line="360" w:lineRule="auto"/>
        <w:ind w:firstLine="560" w:firstLineChars="200"/>
        <w:rPr>
          <w:rFonts w:ascii="仿宋" w:hAnsi="仿宋" w:eastAsia="仿宋" w:cs="仿宋"/>
          <w:b w:val="0"/>
          <w:bCs w:val="0"/>
          <w:sz w:val="28"/>
          <w:szCs w:val="28"/>
          <w:shd w:val="clear" w:color="auto" w:fill="FFFFFF"/>
        </w:rPr>
      </w:pPr>
      <w:r>
        <w:rPr>
          <w:rFonts w:hint="default" w:ascii="仿宋" w:hAnsi="仿宋" w:eastAsia="仿宋" w:cs="仿宋"/>
          <w:b w:val="0"/>
          <w:bCs w:val="0"/>
          <w:sz w:val="28"/>
          <w:szCs w:val="28"/>
          <w:shd w:val="clear" w:color="auto" w:fill="FFFFFF"/>
        </w:rPr>
        <w:t>其他处理办法：</w:t>
      </w:r>
    </w:p>
    <w:p>
      <w:pPr>
        <w:snapToGrid w:val="0"/>
        <w:spacing w:line="360" w:lineRule="auto"/>
        <w:ind w:firstLine="560" w:firstLineChars="200"/>
        <w:rPr>
          <w:rFonts w:ascii="仿宋" w:hAnsi="仿宋" w:eastAsia="仿宋" w:cs="仿宋"/>
          <w:sz w:val="28"/>
          <w:szCs w:val="28"/>
          <w:shd w:val="clear" w:color="auto" w:fill="FFFFFF"/>
        </w:rPr>
      </w:pPr>
      <w:bookmarkStart w:id="98" w:name="_Toc395188770"/>
      <w:bookmarkStart w:id="99" w:name="_Toc396206783"/>
      <w:bookmarkStart w:id="100" w:name="_Toc395887573"/>
      <w:r>
        <w:rPr>
          <w:rFonts w:hint="default" w:ascii="仿宋" w:hAnsi="仿宋" w:eastAsia="仿宋" w:cs="仿宋"/>
          <w:sz w:val="28"/>
          <w:szCs w:val="28"/>
          <w:shd w:val="clear" w:color="auto" w:fill="FFFFFF"/>
        </w:rPr>
        <w:t>1.单位用房：按照有关政策进行补偿。</w:t>
      </w:r>
    </w:p>
    <w:p>
      <w:pPr>
        <w:snapToGrid w:val="0"/>
        <w:spacing w:line="360" w:lineRule="auto"/>
        <w:ind w:firstLine="560" w:firstLineChars="200"/>
        <w:rPr>
          <w:rFonts w:ascii="仿宋" w:hAnsi="仿宋" w:eastAsia="仿宋" w:cs="仿宋"/>
          <w:sz w:val="28"/>
          <w:szCs w:val="28"/>
          <w:shd w:val="clear" w:color="auto" w:fill="FFFFFF"/>
        </w:rPr>
      </w:pPr>
      <w:r>
        <w:rPr>
          <w:rFonts w:hint="default" w:ascii="仿宋" w:hAnsi="仿宋" w:eastAsia="仿宋" w:cs="仿宋"/>
          <w:sz w:val="28"/>
          <w:szCs w:val="28"/>
          <w:shd w:val="clear" w:color="auto" w:fill="FFFFFF"/>
        </w:rPr>
        <w:t>2.产权有争议的房屋：按标准算清补偿费后，争议部分由双方自行协商解决，协商无果时，由司法机关依法裁决。</w:t>
      </w:r>
    </w:p>
    <w:p>
      <w:pPr>
        <w:snapToGrid w:val="0"/>
        <w:spacing w:line="360" w:lineRule="auto"/>
        <w:ind w:firstLine="560" w:firstLineChars="200"/>
        <w:rPr>
          <w:rFonts w:ascii="仿宋" w:hAnsi="仿宋" w:eastAsia="仿宋" w:cs="仿宋"/>
          <w:sz w:val="28"/>
          <w:szCs w:val="28"/>
          <w:shd w:val="clear" w:color="auto" w:fill="FFFFFF"/>
        </w:rPr>
      </w:pPr>
      <w:r>
        <w:rPr>
          <w:rFonts w:hint="default" w:ascii="仿宋" w:hAnsi="仿宋" w:eastAsia="仿宋" w:cs="仿宋"/>
          <w:sz w:val="28"/>
          <w:szCs w:val="28"/>
          <w:shd w:val="clear" w:color="auto" w:fill="FFFFFF"/>
        </w:rPr>
        <w:t>3.破败不堪无屋顶且无人居住的老屋基不安排安置地，只补偿地上附着物。</w:t>
      </w:r>
    </w:p>
    <w:p>
      <w:pPr>
        <w:pStyle w:val="3"/>
        <w:numPr>
          <w:ilvl w:val="1"/>
          <w:numId w:val="0"/>
        </w:numPr>
        <w:tabs>
          <w:tab w:val="clear" w:pos="4800"/>
        </w:tabs>
        <w:rPr>
          <w:rFonts w:ascii="仿宋" w:hAnsi="仿宋" w:eastAsia="仿宋" w:cs="仿宋"/>
          <w:b/>
          <w:bCs/>
          <w:kern w:val="2"/>
          <w:sz w:val="28"/>
          <w:szCs w:val="28"/>
          <w:shd w:val="clear" w:color="auto" w:fill="FFFFFF"/>
        </w:rPr>
      </w:pPr>
      <w:bookmarkStart w:id="101" w:name="_Toc25045"/>
      <w:bookmarkStart w:id="102" w:name="_Toc12259"/>
      <w:bookmarkStart w:id="103" w:name="_Toc2330"/>
      <w:bookmarkStart w:id="104" w:name="_Toc7101"/>
      <w:bookmarkStart w:id="105" w:name="_Toc2699"/>
      <w:r>
        <w:rPr>
          <w:rFonts w:hint="eastAsia" w:ascii="仿宋" w:hAnsi="仿宋" w:eastAsia="仿宋" w:cs="仿宋"/>
          <w:b/>
          <w:bCs/>
          <w:kern w:val="2"/>
          <w:sz w:val="28"/>
          <w:szCs w:val="28"/>
          <w:shd w:val="clear" w:color="auto" w:fill="FFFFFF"/>
          <w:lang w:eastAsia="zh-CN"/>
        </w:rPr>
        <w:t>4</w:t>
      </w:r>
      <w:r>
        <w:rPr>
          <w:rFonts w:hint="eastAsia" w:ascii="仿宋" w:hAnsi="仿宋" w:eastAsia="仿宋" w:cs="仿宋"/>
          <w:b/>
          <w:bCs/>
          <w:kern w:val="2"/>
          <w:sz w:val="28"/>
          <w:szCs w:val="28"/>
          <w:shd w:val="clear" w:color="auto" w:fill="FFFFFF"/>
          <w:lang w:val="en-US" w:eastAsia="zh-CN"/>
        </w:rPr>
        <w:t>.2</w:t>
      </w:r>
      <w:r>
        <w:rPr>
          <w:rFonts w:hint="default" w:ascii="仿宋" w:hAnsi="仿宋" w:eastAsia="仿宋" w:cs="仿宋"/>
          <w:b/>
          <w:bCs/>
          <w:kern w:val="2"/>
          <w:sz w:val="28"/>
          <w:szCs w:val="28"/>
          <w:shd w:val="clear" w:color="auto" w:fill="FFFFFF"/>
        </w:rPr>
        <w:t>其他补偿、补助费用</w:t>
      </w:r>
      <w:bookmarkEnd w:id="101"/>
      <w:bookmarkEnd w:id="102"/>
      <w:bookmarkEnd w:id="103"/>
      <w:bookmarkEnd w:id="104"/>
      <w:bookmarkEnd w:id="105"/>
    </w:p>
    <w:bookmarkEnd w:id="98"/>
    <w:bookmarkEnd w:id="99"/>
    <w:bookmarkEnd w:id="100"/>
    <w:p>
      <w:pPr>
        <w:pStyle w:val="4"/>
        <w:numPr>
          <w:ilvl w:val="-1"/>
          <w:numId w:val="0"/>
        </w:numPr>
        <w:tabs>
          <w:tab w:val="left" w:pos="0"/>
        </w:tabs>
        <w:adjustRightInd w:val="0"/>
        <w:snapToGrid w:val="0"/>
        <w:spacing w:before="0" w:after="0" w:line="360" w:lineRule="auto"/>
        <w:ind w:left="420" w:leftChars="200" w:firstLine="0" w:firstLineChars="0"/>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1、</w:t>
      </w:r>
      <w:r>
        <w:rPr>
          <w:rFonts w:hint="eastAsia" w:ascii="仿宋" w:hAnsi="仿宋" w:eastAsia="仿宋" w:cs="仿宋"/>
          <w:sz w:val="28"/>
          <w:szCs w:val="28"/>
          <w:shd w:val="clear" w:color="auto" w:fill="FFFFFF"/>
        </w:rPr>
        <w:t>临时建（构）筑物及地上附着物</w:t>
      </w:r>
    </w:p>
    <w:p>
      <w:pPr>
        <w:tabs>
          <w:tab w:val="left" w:pos="0"/>
        </w:tabs>
        <w:spacing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rPr>
        <w:t>以不重复补偿为原则，地上构筑（附着）物已通过本方案的有关规定获得补偿的，不再补偿；未获补偿的，按照重置价评估给予货币补偿。</w:t>
      </w:r>
    </w:p>
    <w:p>
      <w:pPr>
        <w:pStyle w:val="4"/>
        <w:numPr>
          <w:ilvl w:val="-1"/>
          <w:numId w:val="0"/>
        </w:numPr>
        <w:tabs>
          <w:tab w:val="left" w:pos="0"/>
        </w:tabs>
        <w:adjustRightInd w:val="0"/>
        <w:snapToGrid w:val="0"/>
        <w:spacing w:before="0" w:after="0"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2、</w:t>
      </w:r>
      <w:r>
        <w:rPr>
          <w:rFonts w:hint="eastAsia" w:ascii="仿宋" w:hAnsi="仿宋" w:eastAsia="仿宋" w:cs="仿宋"/>
          <w:sz w:val="28"/>
          <w:szCs w:val="28"/>
          <w:shd w:val="clear" w:color="auto" w:fill="FFFFFF"/>
        </w:rPr>
        <w:t>室内自行装饰装修（二次装修）</w:t>
      </w:r>
    </w:p>
    <w:p>
      <w:pPr>
        <w:tabs>
          <w:tab w:val="left" w:pos="0"/>
        </w:tabs>
        <w:snapToGrid w:val="0"/>
        <w:spacing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被征收地上建筑物室内自行装修装饰费补偿，按照评估确定的重置成新价给予补偿。若装修档次不符按照评估公司现场评估为准。</w:t>
      </w:r>
    </w:p>
    <w:p>
      <w:pPr>
        <w:pStyle w:val="4"/>
        <w:numPr>
          <w:ilvl w:val="-1"/>
          <w:numId w:val="0"/>
        </w:numPr>
        <w:tabs>
          <w:tab w:val="left" w:pos="0"/>
        </w:tabs>
        <w:adjustRightInd w:val="0"/>
        <w:snapToGrid w:val="0"/>
        <w:spacing w:before="0" w:after="0"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3、</w:t>
      </w:r>
      <w:r>
        <w:rPr>
          <w:rFonts w:hint="eastAsia" w:ascii="仿宋" w:hAnsi="仿宋" w:eastAsia="仿宋" w:cs="仿宋"/>
          <w:sz w:val="28"/>
          <w:szCs w:val="28"/>
          <w:shd w:val="clear" w:color="auto" w:fill="FFFFFF"/>
        </w:rPr>
        <w:t>三线一管迁移费</w:t>
      </w:r>
    </w:p>
    <w:p>
      <w:pPr>
        <w:tabs>
          <w:tab w:val="left" w:pos="0"/>
        </w:tabs>
        <w:spacing w:line="360" w:lineRule="auto"/>
        <w:ind w:left="420" w:leftChars="200" w:firstLine="0" w:firstLineChars="0"/>
        <w:rPr>
          <w:rFonts w:hint="eastAsia" w:ascii="仿宋" w:hAnsi="仿宋" w:eastAsia="仿宋" w:cs="仿宋"/>
          <w:sz w:val="28"/>
          <w:szCs w:val="28"/>
        </w:rPr>
      </w:pPr>
      <w:r>
        <w:rPr>
          <w:rFonts w:hint="eastAsia" w:ascii="仿宋" w:hAnsi="仿宋" w:eastAsia="仿宋" w:cs="仿宋"/>
          <w:sz w:val="28"/>
          <w:szCs w:val="28"/>
          <w:shd w:val="clear" w:color="auto" w:fill="FFFFFF"/>
        </w:rPr>
        <w:t>因地上建筑物征收造成的三线一管迁移每户补偿迁移费1</w:t>
      </w:r>
      <w:r>
        <w:rPr>
          <w:rFonts w:hint="eastAsia" w:ascii="仿宋" w:hAnsi="仿宋" w:eastAsia="仿宋" w:cs="仿宋"/>
          <w:sz w:val="28"/>
          <w:szCs w:val="28"/>
          <w:shd w:val="clear" w:color="auto" w:fill="FFFFFF"/>
          <w:lang w:val="en-US" w:eastAsia="zh-CN"/>
        </w:rPr>
        <w:t>8</w:t>
      </w:r>
      <w:r>
        <w:rPr>
          <w:rFonts w:hint="eastAsia" w:ascii="仿宋" w:hAnsi="仿宋" w:eastAsia="仿宋" w:cs="仿宋"/>
          <w:sz w:val="28"/>
          <w:szCs w:val="28"/>
          <w:shd w:val="clear" w:color="auto" w:fill="FFFFFF"/>
        </w:rPr>
        <w:t>00元</w:t>
      </w:r>
      <w:r>
        <w:rPr>
          <w:rFonts w:hint="eastAsia" w:ascii="仿宋" w:hAnsi="仿宋" w:eastAsia="仿宋" w:cs="仿宋"/>
          <w:sz w:val="28"/>
          <w:szCs w:val="28"/>
          <w:shd w:val="clear" w:color="auto" w:fill="FFFFFF"/>
          <w:lang w:val="en-US" w:eastAsia="zh-CN"/>
        </w:rPr>
        <w:t>/户</w:t>
      </w:r>
      <w:r>
        <w:rPr>
          <w:rFonts w:hint="eastAsia" w:ascii="仿宋" w:hAnsi="仿宋" w:eastAsia="仿宋" w:cs="仿宋"/>
          <w:sz w:val="28"/>
          <w:szCs w:val="28"/>
          <w:shd w:val="clear" w:color="auto" w:fill="FFFFFF"/>
        </w:rPr>
        <w:t>。</w:t>
      </w:r>
    </w:p>
    <w:p>
      <w:pPr>
        <w:pStyle w:val="4"/>
        <w:numPr>
          <w:ilvl w:val="-1"/>
          <w:numId w:val="0"/>
        </w:numPr>
        <w:tabs>
          <w:tab w:val="left" w:pos="0"/>
        </w:tabs>
        <w:adjustRightInd w:val="0"/>
        <w:snapToGrid w:val="0"/>
        <w:spacing w:before="0" w:after="0" w:line="360" w:lineRule="auto"/>
        <w:ind w:left="420" w:leftChars="200" w:firstLine="0" w:firstLineChars="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val="en-US" w:eastAsia="zh-CN"/>
        </w:rPr>
        <w:t>4、</w:t>
      </w:r>
      <w:r>
        <w:rPr>
          <w:rFonts w:hint="eastAsia" w:ascii="仿宋" w:hAnsi="仿宋" w:eastAsia="仿宋" w:cs="仿宋"/>
          <w:sz w:val="28"/>
          <w:szCs w:val="28"/>
          <w:shd w:val="clear" w:color="auto" w:fill="FFFFFF"/>
        </w:rPr>
        <w:t>搬迁费</w:t>
      </w:r>
    </w:p>
    <w:p>
      <w:pPr>
        <w:tabs>
          <w:tab w:val="left" w:pos="0"/>
        </w:tabs>
        <w:snapToGrid w:val="0"/>
        <w:spacing w:line="360" w:lineRule="auto"/>
        <w:ind w:left="420" w:leftChars="200" w:firstLine="0" w:firstLineChars="0"/>
        <w:rPr>
          <w:rFonts w:hint="eastAsia" w:ascii="仿宋" w:hAnsi="仿宋" w:eastAsia="仿宋" w:cs="仿宋"/>
          <w:sz w:val="28"/>
          <w:szCs w:val="28"/>
          <w:shd w:val="clear" w:color="auto" w:fill="FFFFFF"/>
          <w:lang w:eastAsia="zh-CN"/>
        </w:rPr>
      </w:pPr>
      <w:r>
        <w:rPr>
          <w:rFonts w:hint="eastAsia" w:ascii="仿宋" w:hAnsi="仿宋" w:eastAsia="仿宋" w:cs="仿宋"/>
          <w:sz w:val="28"/>
          <w:szCs w:val="28"/>
          <w:shd w:val="clear" w:color="auto" w:fill="FFFFFF"/>
        </w:rPr>
        <w:t>因征收地上建筑物造成搬迁的，一次性补偿搬迁费用，搬迁补助费按</w:t>
      </w:r>
      <w:r>
        <w:rPr>
          <w:rFonts w:hint="eastAsia" w:ascii="仿宋" w:hAnsi="仿宋" w:eastAsia="仿宋" w:cs="仿宋"/>
          <w:sz w:val="28"/>
          <w:szCs w:val="28"/>
          <w:shd w:val="clear" w:color="auto" w:fill="FFFFFF"/>
          <w:lang w:val="en-US" w:eastAsia="zh-CN"/>
        </w:rPr>
        <w:t>20</w:t>
      </w:r>
      <w:r>
        <w:rPr>
          <w:rFonts w:hint="eastAsia" w:ascii="仿宋" w:hAnsi="仿宋" w:eastAsia="仿宋" w:cs="仿宋"/>
          <w:sz w:val="28"/>
          <w:szCs w:val="28"/>
          <w:shd w:val="clear" w:color="auto" w:fill="FFFFFF"/>
        </w:rPr>
        <w:t>00元/户补偿</w:t>
      </w:r>
      <w:r>
        <w:rPr>
          <w:rFonts w:hint="eastAsia" w:ascii="仿宋" w:hAnsi="仿宋" w:eastAsia="仿宋" w:cs="仿宋"/>
          <w:sz w:val="28"/>
          <w:szCs w:val="28"/>
          <w:shd w:val="clear" w:color="auto" w:fill="FFFFFF"/>
          <w:lang w:eastAsia="zh-CN"/>
        </w:rPr>
        <w:t>。</w:t>
      </w:r>
    </w:p>
    <w:p>
      <w:pPr>
        <w:tabs>
          <w:tab w:val="left" w:pos="0"/>
        </w:tabs>
        <w:adjustRightInd w:val="0"/>
        <w:snapToGrid w:val="0"/>
        <w:spacing w:line="360" w:lineRule="auto"/>
        <w:ind w:left="420" w:leftChars="200" w:firstLine="0" w:firstLineChars="0"/>
        <w:rPr>
          <w:rFonts w:hint="default" w:ascii="仿宋" w:hAnsi="仿宋" w:eastAsia="仿宋" w:cs="仿宋"/>
          <w:b/>
          <w:bCs/>
          <w:sz w:val="28"/>
          <w:szCs w:val="28"/>
          <w:shd w:val="clear" w:color="auto" w:fill="FFFFFF"/>
        </w:rPr>
      </w:pPr>
      <w:r>
        <w:rPr>
          <w:rFonts w:hint="eastAsia" w:ascii="仿宋" w:hAnsi="仿宋" w:eastAsia="仿宋" w:cs="仿宋"/>
          <w:b/>
          <w:bCs/>
          <w:sz w:val="28"/>
          <w:szCs w:val="28"/>
          <w:shd w:val="clear" w:color="auto" w:fill="FFFFFF"/>
          <w:lang w:val="en-US" w:eastAsia="zh-CN"/>
        </w:rPr>
        <w:t>5、</w:t>
      </w:r>
      <w:r>
        <w:rPr>
          <w:rFonts w:hint="default" w:ascii="仿宋" w:hAnsi="仿宋" w:eastAsia="仿宋" w:cs="仿宋"/>
          <w:b/>
          <w:bCs/>
          <w:sz w:val="28"/>
          <w:szCs w:val="28"/>
          <w:shd w:val="clear" w:color="auto" w:fill="FFFFFF"/>
        </w:rPr>
        <w:t>临时安置费</w:t>
      </w:r>
    </w:p>
    <w:p>
      <w:pPr>
        <w:tabs>
          <w:tab w:val="left" w:pos="0"/>
        </w:tabs>
        <w:snapToGrid w:val="0"/>
        <w:spacing w:line="360" w:lineRule="auto"/>
        <w:ind w:left="420" w:leftChars="200" w:firstLine="0" w:firstLineChars="0"/>
        <w:rPr>
          <w:rFonts w:hint="default" w:ascii="仿宋" w:hAnsi="仿宋" w:eastAsia="仿宋" w:cs="仿宋"/>
          <w:sz w:val="28"/>
          <w:szCs w:val="28"/>
          <w:shd w:val="clear" w:color="auto" w:fill="FFFFFF"/>
        </w:rPr>
      </w:pPr>
      <w:r>
        <w:rPr>
          <w:rFonts w:hint="default" w:ascii="仿宋" w:hAnsi="仿宋" w:eastAsia="仿宋" w:cs="仿宋"/>
          <w:sz w:val="28"/>
          <w:szCs w:val="28"/>
          <w:shd w:val="clear" w:color="auto" w:fill="FFFFFF"/>
        </w:rPr>
        <w:t>征收建筑物被认定为居住性质的临时过渡方式一律采取发放临时安置补偿费用，由被征收人自行解决过渡期居住问题，费用按</w:t>
      </w:r>
      <w:r>
        <w:rPr>
          <w:rFonts w:hint="default" w:ascii="仿宋" w:hAnsi="仿宋" w:eastAsia="仿宋" w:cs="仿宋"/>
          <w:i w:val="0"/>
          <w:kern w:val="2"/>
          <w:sz w:val="28"/>
          <w:szCs w:val="28"/>
          <w:u w:val="none"/>
          <w:shd w:val="clear" w:color="auto" w:fill="FFFFFF"/>
          <w:lang w:val="en-US" w:eastAsia="zh-CN" w:bidi="ar"/>
        </w:rPr>
        <w:t>800元/月/户</w:t>
      </w:r>
      <w:r>
        <w:rPr>
          <w:rFonts w:hint="default" w:ascii="仿宋" w:hAnsi="仿宋" w:eastAsia="仿宋" w:cs="仿宋"/>
          <w:sz w:val="28"/>
          <w:szCs w:val="28"/>
          <w:shd w:val="clear" w:color="auto" w:fill="FFFFFF"/>
        </w:rPr>
        <w:t>计算。按一年过度时限算，一次性支付。</w:t>
      </w: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numPr>
          <w:ilvl w:val="-1"/>
          <w:numId w:val="0"/>
        </w:numPr>
        <w:jc w:val="both"/>
        <w:rPr>
          <w:rFonts w:hint="eastAsia" w:ascii="仿宋" w:hAnsi="仿宋" w:eastAsia="仿宋" w:cs="仿宋"/>
          <w:b/>
          <w:bCs/>
          <w:sz w:val="36"/>
          <w:szCs w:val="36"/>
          <w:shd w:val="clear" w:color="auto" w:fill="FFFFFF"/>
          <w:lang w:eastAsia="zh-CN"/>
        </w:rPr>
      </w:pPr>
    </w:p>
    <w:p>
      <w:pPr>
        <w:spacing w:line="360" w:lineRule="auto"/>
        <w:jc w:val="center"/>
        <w:rPr>
          <w:rFonts w:hint="eastAsia" w:ascii="仿宋_GB2312" w:hAnsi="仿宋_GB2312" w:eastAsia="仿宋_GB2312" w:cs="仿宋_GB2312"/>
          <w:b/>
          <w:sz w:val="44"/>
          <w:szCs w:val="44"/>
        </w:rPr>
      </w:pPr>
      <w:r>
        <w:rPr>
          <w:rFonts w:hint="eastAsia" w:ascii="仿宋_GB2312" w:hAnsi="仿宋_GB2312" w:eastAsia="仿宋_GB2312" w:cs="仿宋_GB2312"/>
          <w:b/>
          <w:kern w:val="1"/>
          <w:sz w:val="44"/>
          <w:szCs w:val="44"/>
          <w:shd w:val="clear" w:color="auto" w:fill="FFFFFF"/>
          <w:lang w:eastAsia="zh-CN"/>
        </w:rPr>
        <w:t>龙川县2007年度第二批次城镇建设用地</w:t>
      </w:r>
      <w:r>
        <w:rPr>
          <w:rFonts w:hint="eastAsia" w:ascii="仿宋_GB2312" w:hAnsi="仿宋_GB2312" w:eastAsia="仿宋_GB2312" w:cs="仿宋_GB2312"/>
          <w:b/>
          <w:kern w:val="1"/>
          <w:sz w:val="44"/>
          <w:szCs w:val="44"/>
          <w:shd w:val="clear" w:color="auto" w:fill="FFFFFF"/>
        </w:rPr>
        <w:t>房屋征收补偿标准</w:t>
      </w:r>
      <w:r>
        <w:rPr>
          <w:rFonts w:hint="eastAsia" w:ascii="仿宋_GB2312" w:hAnsi="仿宋_GB2312" w:eastAsia="仿宋_GB2312" w:cs="仿宋_GB2312"/>
          <w:b/>
          <w:sz w:val="44"/>
          <w:szCs w:val="44"/>
        </w:rPr>
        <w:t>(征求意见稿)</w:t>
      </w:r>
    </w:p>
    <w:p>
      <w:pPr>
        <w:spacing w:line="360" w:lineRule="auto"/>
        <w:rPr>
          <w:rFonts w:hint="eastAsia" w:ascii="仿宋_GB2312" w:hAnsi="仿宋_GB2312" w:eastAsia="仿宋_GB2312" w:cs="仿宋_GB2312"/>
          <w:sz w:val="28"/>
          <w:szCs w:val="28"/>
        </w:rPr>
      </w:pPr>
    </w:p>
    <w:p>
      <w:pPr>
        <w:spacing w:line="360" w:lineRule="auto"/>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（一）地上建筑物</w:t>
      </w:r>
      <w:r>
        <w:rPr>
          <w:rFonts w:hint="eastAsia" w:ascii="仿宋_GB2312" w:hAnsi="仿宋_GB2312" w:eastAsia="仿宋_GB2312" w:cs="仿宋_GB2312"/>
          <w:b/>
          <w:bCs/>
          <w:sz w:val="28"/>
          <w:szCs w:val="28"/>
          <w:lang w:val="en-US" w:eastAsia="zh-CN"/>
        </w:rPr>
        <w:t>补偿</w:t>
      </w:r>
      <w:r>
        <w:rPr>
          <w:rFonts w:hint="eastAsia" w:ascii="仿宋_GB2312" w:hAnsi="仿宋_GB2312" w:eastAsia="仿宋_GB2312" w:cs="仿宋_GB2312"/>
          <w:b/>
          <w:bCs/>
          <w:sz w:val="28"/>
          <w:szCs w:val="28"/>
        </w:rPr>
        <w:t>标准表</w:t>
      </w:r>
    </w:p>
    <w:tbl>
      <w:tblPr>
        <w:tblStyle w:val="10"/>
        <w:tblW w:w="881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10"/>
        <w:gridCol w:w="3525"/>
        <w:gridCol w:w="885"/>
        <w:gridCol w:w="1545"/>
        <w:gridCol w:w="205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85" w:hRule="atLeast"/>
          <w:jc w:val="center"/>
        </w:trPr>
        <w:tc>
          <w:tcPr>
            <w:tcW w:w="81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序号</w:t>
            </w:r>
          </w:p>
        </w:tc>
        <w:tc>
          <w:tcPr>
            <w:tcW w:w="352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项目名称</w:t>
            </w:r>
          </w:p>
        </w:tc>
        <w:tc>
          <w:tcPr>
            <w:tcW w:w="88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单位</w:t>
            </w:r>
          </w:p>
        </w:tc>
        <w:tc>
          <w:tcPr>
            <w:tcW w:w="154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单价（元）</w:t>
            </w:r>
          </w:p>
        </w:tc>
        <w:tc>
          <w:tcPr>
            <w:tcW w:w="205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55" w:hRule="atLeast"/>
          <w:jc w:val="center"/>
        </w:trPr>
        <w:tc>
          <w:tcPr>
            <w:tcW w:w="81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p>
        </w:tc>
        <w:tc>
          <w:tcPr>
            <w:tcW w:w="352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框架结构</w:t>
            </w:r>
          </w:p>
        </w:tc>
        <w:tc>
          <w:tcPr>
            <w:tcW w:w="88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p>
        </w:tc>
        <w:tc>
          <w:tcPr>
            <w:tcW w:w="154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1150</w:t>
            </w:r>
          </w:p>
        </w:tc>
        <w:tc>
          <w:tcPr>
            <w:tcW w:w="2050" w:type="dxa"/>
            <w:tcBorders>
              <w:top w:val="single" w:color="auto" w:sz="8" w:space="0"/>
              <w:left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含基础、不含地价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55" w:hRule="atLeast"/>
          <w:jc w:val="center"/>
        </w:trPr>
        <w:tc>
          <w:tcPr>
            <w:tcW w:w="81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p>
        </w:tc>
        <w:tc>
          <w:tcPr>
            <w:tcW w:w="352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混合结构</w:t>
            </w:r>
          </w:p>
        </w:tc>
        <w:tc>
          <w:tcPr>
            <w:tcW w:w="88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p>
        </w:tc>
        <w:tc>
          <w:tcPr>
            <w:tcW w:w="154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1050</w:t>
            </w:r>
          </w:p>
        </w:tc>
        <w:tc>
          <w:tcPr>
            <w:tcW w:w="2050" w:type="dxa"/>
            <w:tcBorders>
              <w:left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含基础、不含地价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55" w:hRule="atLeast"/>
          <w:jc w:val="center"/>
        </w:trPr>
        <w:tc>
          <w:tcPr>
            <w:tcW w:w="81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p>
        </w:tc>
        <w:tc>
          <w:tcPr>
            <w:tcW w:w="352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（泥、红）砖木瓦结构</w:t>
            </w:r>
          </w:p>
        </w:tc>
        <w:tc>
          <w:tcPr>
            <w:tcW w:w="88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p>
        </w:tc>
        <w:tc>
          <w:tcPr>
            <w:tcW w:w="154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75</w:t>
            </w:r>
            <w:r>
              <w:rPr>
                <w:rFonts w:hint="eastAsia" w:ascii="仿宋_GB2312" w:hAnsi="仿宋_GB2312" w:eastAsia="仿宋_GB2312" w:cs="仿宋_GB2312"/>
                <w:color w:val="auto"/>
                <w:sz w:val="28"/>
                <w:szCs w:val="28"/>
              </w:rPr>
              <w:t>0</w:t>
            </w:r>
          </w:p>
        </w:tc>
        <w:tc>
          <w:tcPr>
            <w:tcW w:w="2050" w:type="dxa"/>
            <w:tcBorders>
              <w:left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含基础、不含地价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55" w:hRule="atLeast"/>
          <w:jc w:val="center"/>
        </w:trPr>
        <w:tc>
          <w:tcPr>
            <w:tcW w:w="81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w:t>
            </w:r>
          </w:p>
        </w:tc>
        <w:tc>
          <w:tcPr>
            <w:tcW w:w="352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pPr>
            <w:r>
              <w:rPr>
                <w:rFonts w:hint="eastAsia" w:ascii="仿宋_GB2312" w:hAnsi="仿宋_GB2312" w:eastAsia="仿宋_GB2312" w:cs="仿宋_GB2312"/>
                <w:color w:val="auto"/>
                <w:sz w:val="28"/>
                <w:szCs w:val="28"/>
              </w:rPr>
              <w:t>红砖铁皮（</w:t>
            </w:r>
            <w:r>
              <w:rPr>
                <w:rFonts w:hint="eastAsia" w:ascii="仿宋_GB2312" w:hAnsi="仿宋_GB2312" w:eastAsia="仿宋_GB2312" w:cs="仿宋_GB2312"/>
                <w:color w:val="auto"/>
                <w:sz w:val="28"/>
                <w:szCs w:val="28"/>
                <w:lang w:val="en-US" w:eastAsia="zh-CN"/>
              </w:rPr>
              <w:t>石棉</w:t>
            </w:r>
            <w:r>
              <w:rPr>
                <w:rFonts w:hint="eastAsia" w:ascii="仿宋_GB2312" w:hAnsi="仿宋_GB2312" w:eastAsia="仿宋_GB2312" w:cs="仿宋_GB2312"/>
                <w:color w:val="auto"/>
                <w:sz w:val="28"/>
                <w:szCs w:val="28"/>
              </w:rPr>
              <w:t>）瓦</w:t>
            </w:r>
          </w:p>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四周砌墙</w:t>
            </w:r>
            <w:r>
              <w:rPr>
                <w:rFonts w:hint="eastAsia" w:ascii="仿宋_GB2312" w:hAnsi="仿宋_GB2312" w:eastAsia="仿宋_GB2312" w:cs="仿宋_GB2312"/>
                <w:color w:val="auto"/>
                <w:sz w:val="28"/>
                <w:szCs w:val="28"/>
                <w:lang w:eastAsia="zh-CN"/>
              </w:rPr>
              <w:t>）</w:t>
            </w:r>
          </w:p>
        </w:tc>
        <w:tc>
          <w:tcPr>
            <w:tcW w:w="88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p>
        </w:tc>
        <w:tc>
          <w:tcPr>
            <w:tcW w:w="154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50</w:t>
            </w:r>
          </w:p>
        </w:tc>
        <w:tc>
          <w:tcPr>
            <w:tcW w:w="2050" w:type="dxa"/>
            <w:tcBorders>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含基础、不含地价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69" w:hRule="atLeast"/>
          <w:jc w:val="center"/>
        </w:trPr>
        <w:tc>
          <w:tcPr>
            <w:tcW w:w="81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w:t>
            </w:r>
          </w:p>
        </w:tc>
        <w:tc>
          <w:tcPr>
            <w:tcW w:w="352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宅基地</w:t>
            </w:r>
          </w:p>
        </w:tc>
        <w:tc>
          <w:tcPr>
            <w:tcW w:w="88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p>
        </w:tc>
        <w:tc>
          <w:tcPr>
            <w:tcW w:w="1545"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1500</w:t>
            </w:r>
          </w:p>
        </w:tc>
        <w:tc>
          <w:tcPr>
            <w:tcW w:w="205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spacing w:line="360" w:lineRule="auto"/>
              <w:jc w:val="center"/>
              <w:rPr>
                <w:rFonts w:hint="eastAsia" w:ascii="仿宋_GB2312" w:hAnsi="仿宋_GB2312" w:eastAsia="仿宋_GB2312" w:cs="仿宋_GB2312"/>
                <w:color w:val="auto"/>
                <w:sz w:val="28"/>
                <w:szCs w:val="28"/>
              </w:rPr>
            </w:pPr>
          </w:p>
        </w:tc>
      </w:tr>
    </w:tbl>
    <w:p>
      <w:pPr>
        <w:spacing w:line="360" w:lineRule="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备注：</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上述各项预估值是指假设咨询对象在完全产权条件下的建筑物市场价值，各项均包含人工、材料、辅料等相关费用，未考虑成新率及扣除折旧。</w:t>
      </w:r>
    </w:p>
    <w:p>
      <w:pPr>
        <w:numPr>
          <w:ilvl w:val="-1"/>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若装修档次不符按照评估公司现场评估为准。</w:t>
      </w:r>
    </w:p>
    <w:p>
      <w:pPr>
        <w:numPr>
          <w:ilvl w:val="-1"/>
          <w:numId w:val="0"/>
        </w:numPr>
        <w:spacing w:line="360" w:lineRule="auto"/>
        <w:rPr>
          <w:rFonts w:hint="eastAsia" w:ascii="仿宋_GB2312" w:hAnsi="仿宋_GB2312" w:eastAsia="仿宋_GB2312" w:cs="仿宋_GB2312"/>
          <w:sz w:val="28"/>
          <w:szCs w:val="28"/>
        </w:rPr>
      </w:pPr>
    </w:p>
    <w:p>
      <w:pPr>
        <w:numPr>
          <w:ilvl w:val="-1"/>
          <w:numId w:val="0"/>
        </w:numPr>
        <w:spacing w:line="360" w:lineRule="auto"/>
        <w:rPr>
          <w:rFonts w:hint="eastAsia" w:ascii="仿宋_GB2312" w:hAnsi="仿宋_GB2312" w:eastAsia="仿宋_GB2312" w:cs="仿宋_GB2312"/>
          <w:sz w:val="28"/>
          <w:szCs w:val="28"/>
        </w:rPr>
      </w:pPr>
    </w:p>
    <w:p>
      <w:pPr>
        <w:numPr>
          <w:ilvl w:val="-1"/>
          <w:numId w:val="0"/>
        </w:numPr>
        <w:spacing w:line="360" w:lineRule="auto"/>
        <w:rPr>
          <w:rFonts w:hint="eastAsia" w:ascii="仿宋_GB2312" w:hAnsi="仿宋_GB2312" w:eastAsia="仿宋_GB2312" w:cs="仿宋_GB2312"/>
          <w:sz w:val="28"/>
          <w:szCs w:val="28"/>
        </w:rPr>
      </w:pPr>
    </w:p>
    <w:p>
      <w:pPr>
        <w:numPr>
          <w:ilvl w:val="-1"/>
          <w:numId w:val="0"/>
        </w:numPr>
        <w:spacing w:line="360" w:lineRule="auto"/>
        <w:rPr>
          <w:rFonts w:hint="eastAsia" w:ascii="仿宋_GB2312" w:hAnsi="仿宋_GB2312" w:eastAsia="仿宋_GB2312" w:cs="仿宋_GB2312"/>
          <w:sz w:val="28"/>
          <w:szCs w:val="28"/>
        </w:rPr>
      </w:pPr>
    </w:p>
    <w:p>
      <w:pPr>
        <w:numPr>
          <w:ilvl w:val="-1"/>
          <w:numId w:val="0"/>
        </w:numPr>
        <w:spacing w:line="360" w:lineRule="auto"/>
        <w:rPr>
          <w:rFonts w:hint="eastAsia" w:ascii="仿宋_GB2312" w:hAnsi="仿宋_GB2312" w:eastAsia="仿宋_GB2312" w:cs="仿宋_GB2312"/>
          <w:sz w:val="28"/>
          <w:szCs w:val="28"/>
        </w:rPr>
      </w:pPr>
    </w:p>
    <w:p>
      <w:pPr>
        <w:numPr>
          <w:ilvl w:val="-1"/>
          <w:numId w:val="0"/>
        </w:numPr>
        <w:spacing w:line="360" w:lineRule="auto"/>
        <w:rPr>
          <w:rFonts w:hint="eastAsia" w:ascii="仿宋_GB2312" w:hAnsi="仿宋_GB2312" w:eastAsia="仿宋_GB2312" w:cs="仿宋_GB2312"/>
          <w:sz w:val="28"/>
          <w:szCs w:val="28"/>
        </w:rPr>
      </w:pPr>
    </w:p>
    <w:p>
      <w:pPr>
        <w:numPr>
          <w:ilvl w:val="-1"/>
          <w:numId w:val="0"/>
        </w:numPr>
        <w:autoSpaceDE w:val="0"/>
        <w:autoSpaceDN w:val="0"/>
        <w:adjustRightInd w:val="0"/>
        <w:spacing w:after="156" w:line="360" w:lineRule="auto"/>
        <w:ind w:left="0" w:firstLine="0"/>
        <w:rPr>
          <w:rFonts w:hint="eastAsia" w:ascii="仿宋" w:hAnsi="仿宋" w:eastAsia="仿宋" w:cs="仿宋"/>
          <w:b/>
          <w:color w:val="auto"/>
          <w:sz w:val="28"/>
          <w:szCs w:val="28"/>
          <w:lang w:val="zh-CN"/>
        </w:rPr>
      </w:pP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w:t>
      </w:r>
      <w:r>
        <w:rPr>
          <w:rFonts w:hint="eastAsia" w:ascii="仿宋" w:hAnsi="仿宋" w:eastAsia="仿宋" w:cs="仿宋"/>
          <w:b/>
          <w:color w:val="auto"/>
          <w:sz w:val="28"/>
          <w:szCs w:val="28"/>
          <w:lang w:val="zh-CN"/>
        </w:rPr>
        <w:t>室内普通装修补偿标准表</w:t>
      </w:r>
    </w:p>
    <w:tbl>
      <w:tblPr>
        <w:tblStyle w:val="10"/>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380"/>
        <w:gridCol w:w="840"/>
        <w:gridCol w:w="1425"/>
        <w:gridCol w:w="1380"/>
        <w:gridCol w:w="3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1"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bCs/>
                <w:kern w:val="2"/>
                <w:sz w:val="28"/>
                <w:szCs w:val="28"/>
              </w:rPr>
            </w:pPr>
            <w:r>
              <w:rPr>
                <w:rFonts w:hint="eastAsia" w:ascii="仿宋_GB2312" w:hAnsi="仿宋_GB2312" w:eastAsia="仿宋_GB2312" w:cs="仿宋_GB2312"/>
                <w:b/>
                <w:bCs/>
                <w:kern w:val="2"/>
                <w:sz w:val="28"/>
                <w:szCs w:val="28"/>
              </w:rPr>
              <w:t>序号</w:t>
            </w:r>
          </w:p>
        </w:tc>
        <w:tc>
          <w:tcPr>
            <w:tcW w:w="138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bCs/>
                <w:kern w:val="2"/>
                <w:sz w:val="28"/>
                <w:szCs w:val="28"/>
              </w:rPr>
            </w:pPr>
            <w:r>
              <w:rPr>
                <w:rFonts w:hint="eastAsia" w:ascii="仿宋_GB2312" w:hAnsi="仿宋_GB2312" w:eastAsia="仿宋_GB2312" w:cs="仿宋_GB2312"/>
                <w:b/>
                <w:bCs/>
                <w:kern w:val="2"/>
                <w:sz w:val="28"/>
                <w:szCs w:val="28"/>
              </w:rPr>
              <w:t>项目名称</w:t>
            </w:r>
          </w:p>
        </w:tc>
        <w:tc>
          <w:tcPr>
            <w:tcW w:w="84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bCs/>
                <w:kern w:val="2"/>
                <w:sz w:val="28"/>
                <w:szCs w:val="28"/>
              </w:rPr>
            </w:pPr>
            <w:r>
              <w:rPr>
                <w:rFonts w:hint="eastAsia" w:ascii="仿宋_GB2312" w:hAnsi="仿宋_GB2312" w:eastAsia="仿宋_GB2312" w:cs="仿宋_GB2312"/>
                <w:b/>
                <w:bCs/>
                <w:kern w:val="2"/>
                <w:sz w:val="28"/>
                <w:szCs w:val="28"/>
              </w:rPr>
              <w:t>单位</w:t>
            </w:r>
          </w:p>
        </w:tc>
        <w:tc>
          <w:tcPr>
            <w:tcW w:w="1425"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bCs/>
                <w:kern w:val="2"/>
                <w:sz w:val="28"/>
                <w:szCs w:val="28"/>
              </w:rPr>
            </w:pPr>
            <w:r>
              <w:rPr>
                <w:rFonts w:hint="eastAsia" w:ascii="仿宋_GB2312" w:hAnsi="仿宋_GB2312" w:eastAsia="仿宋_GB2312" w:cs="仿宋_GB2312"/>
                <w:b/>
                <w:bCs/>
                <w:kern w:val="2"/>
                <w:sz w:val="28"/>
                <w:szCs w:val="28"/>
              </w:rPr>
              <w:t>单价（元）</w:t>
            </w:r>
          </w:p>
        </w:tc>
        <w:tc>
          <w:tcPr>
            <w:tcW w:w="138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bCs/>
                <w:kern w:val="2"/>
                <w:sz w:val="28"/>
                <w:szCs w:val="28"/>
              </w:rPr>
            </w:pPr>
            <w:r>
              <w:rPr>
                <w:rFonts w:hint="eastAsia" w:ascii="仿宋_GB2312" w:hAnsi="仿宋_GB2312" w:eastAsia="仿宋_GB2312" w:cs="仿宋_GB2312"/>
                <w:b/>
                <w:bCs/>
                <w:kern w:val="2"/>
                <w:sz w:val="28"/>
                <w:szCs w:val="28"/>
              </w:rPr>
              <w:t>等级</w:t>
            </w:r>
          </w:p>
        </w:tc>
        <w:tc>
          <w:tcPr>
            <w:tcW w:w="3362"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bCs/>
                <w:kern w:val="2"/>
                <w:sz w:val="28"/>
                <w:szCs w:val="28"/>
              </w:rPr>
            </w:pPr>
            <w:r>
              <w:rPr>
                <w:rFonts w:hint="eastAsia" w:ascii="仿宋_GB2312" w:hAnsi="仿宋_GB2312" w:eastAsia="仿宋_GB2312" w:cs="仿宋_GB2312"/>
                <w:b/>
                <w:bCs/>
                <w:kern w:val="2"/>
                <w:sz w:val="28"/>
                <w:szCs w:val="2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41"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1</w:t>
            </w:r>
          </w:p>
        </w:tc>
        <w:tc>
          <w:tcPr>
            <w:tcW w:w="1380" w:type="dxa"/>
            <w:vMerge w:val="restart"/>
            <w:tcBorders>
              <w:left w:val="nil"/>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房屋</w:t>
            </w:r>
            <w:r>
              <w:rPr>
                <w:rFonts w:hint="eastAsia" w:ascii="仿宋_GB2312" w:hAnsi="仿宋_GB2312" w:eastAsia="仿宋_GB2312" w:cs="仿宋_GB2312"/>
                <w:kern w:val="2"/>
                <w:sz w:val="28"/>
                <w:szCs w:val="28"/>
                <w:lang w:eastAsia="zh-CN"/>
              </w:rPr>
              <w:t>室内</w:t>
            </w:r>
            <w:r>
              <w:rPr>
                <w:rFonts w:hint="eastAsia" w:ascii="仿宋_GB2312" w:hAnsi="仿宋_GB2312" w:eastAsia="仿宋_GB2312" w:cs="仿宋_GB2312"/>
                <w:kern w:val="2"/>
                <w:sz w:val="28"/>
                <w:szCs w:val="28"/>
              </w:rPr>
              <w:t>装修</w:t>
            </w:r>
          </w:p>
        </w:tc>
        <w:tc>
          <w:tcPr>
            <w:tcW w:w="840" w:type="dxa"/>
            <w:vMerge w:val="restart"/>
            <w:tcBorders>
              <w:left w:val="nil"/>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w:t>
            </w:r>
          </w:p>
        </w:tc>
        <w:tc>
          <w:tcPr>
            <w:tcW w:w="1425"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color w:val="auto"/>
                <w:kern w:val="2"/>
                <w:sz w:val="28"/>
                <w:szCs w:val="28"/>
                <w:u w:val="none"/>
              </w:rPr>
              <w:t>1</w:t>
            </w:r>
            <w:r>
              <w:rPr>
                <w:rFonts w:hint="eastAsia" w:ascii="仿宋_GB2312" w:hAnsi="仿宋_GB2312" w:eastAsia="仿宋_GB2312" w:cs="仿宋_GB2312"/>
                <w:color w:val="auto"/>
                <w:kern w:val="2"/>
                <w:sz w:val="28"/>
                <w:szCs w:val="28"/>
                <w:u w:val="none"/>
                <w:lang w:val="en-US" w:eastAsia="zh-CN"/>
              </w:rPr>
              <w:t>25</w:t>
            </w:r>
            <w:r>
              <w:rPr>
                <w:rFonts w:hint="eastAsia" w:ascii="仿宋_GB2312" w:hAnsi="仿宋_GB2312" w:eastAsia="仿宋_GB2312" w:cs="仿宋_GB2312"/>
                <w:color w:val="auto"/>
                <w:kern w:val="2"/>
                <w:sz w:val="28"/>
                <w:szCs w:val="28"/>
                <w:u w:val="none"/>
              </w:rPr>
              <w:t>0</w:t>
            </w:r>
          </w:p>
        </w:tc>
        <w:tc>
          <w:tcPr>
            <w:tcW w:w="138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color w:val="auto"/>
                <w:kern w:val="2"/>
                <w:sz w:val="28"/>
                <w:szCs w:val="28"/>
                <w:u w:val="none"/>
              </w:rPr>
              <w:t>高</w:t>
            </w:r>
            <w:r>
              <w:rPr>
                <w:rFonts w:hint="eastAsia" w:ascii="仿宋_GB2312" w:hAnsi="仿宋_GB2312" w:eastAsia="仿宋_GB2312" w:cs="仿宋_GB2312"/>
                <w:kern w:val="2"/>
                <w:sz w:val="28"/>
                <w:szCs w:val="28"/>
              </w:rPr>
              <w:t>档</w:t>
            </w:r>
            <w:r>
              <w:rPr>
                <w:rFonts w:hint="eastAsia" w:ascii="仿宋_GB2312" w:hAnsi="仿宋_GB2312" w:eastAsia="仿宋_GB2312" w:cs="仿宋_GB2312"/>
                <w:color w:val="auto"/>
                <w:kern w:val="2"/>
                <w:sz w:val="28"/>
                <w:szCs w:val="28"/>
                <w:u w:val="none"/>
              </w:rPr>
              <w:t>装修</w:t>
            </w:r>
          </w:p>
        </w:tc>
        <w:tc>
          <w:tcPr>
            <w:tcW w:w="3362"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u w:val="none"/>
              </w:rPr>
              <w:t>地面瓷片、吊顶、上墙瓷片、门窗、水电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41"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2</w:t>
            </w:r>
          </w:p>
        </w:tc>
        <w:tc>
          <w:tcPr>
            <w:tcW w:w="1380" w:type="dxa"/>
            <w:vMerge w:val="continue"/>
            <w:tcBorders>
              <w:left w:val="nil"/>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p>
        </w:tc>
        <w:tc>
          <w:tcPr>
            <w:tcW w:w="840" w:type="dxa"/>
            <w:vMerge w:val="continue"/>
            <w:tcBorders>
              <w:left w:val="nil"/>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p>
        </w:tc>
        <w:tc>
          <w:tcPr>
            <w:tcW w:w="1425"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b w:val="0"/>
                <w:bCs w:val="0"/>
                <w:kern w:val="2"/>
                <w:sz w:val="28"/>
                <w:szCs w:val="28"/>
              </w:rPr>
            </w:pPr>
            <w:r>
              <w:rPr>
                <w:rFonts w:hint="eastAsia" w:ascii="仿宋_GB2312" w:hAnsi="仿宋_GB2312" w:eastAsia="仿宋_GB2312" w:cs="仿宋_GB2312"/>
                <w:kern w:val="2"/>
                <w:sz w:val="28"/>
                <w:szCs w:val="28"/>
                <w:lang w:val="en-US" w:eastAsia="zh-CN"/>
              </w:rPr>
              <w:t>9</w:t>
            </w:r>
            <w:r>
              <w:rPr>
                <w:rFonts w:hint="eastAsia" w:ascii="仿宋_GB2312" w:hAnsi="仿宋_GB2312" w:eastAsia="仿宋_GB2312" w:cs="仿宋_GB2312"/>
                <w:kern w:val="2"/>
                <w:sz w:val="28"/>
                <w:szCs w:val="28"/>
              </w:rPr>
              <w:t>00</w:t>
            </w:r>
          </w:p>
        </w:tc>
        <w:tc>
          <w:tcPr>
            <w:tcW w:w="138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中档装修</w:t>
            </w:r>
          </w:p>
        </w:tc>
        <w:tc>
          <w:tcPr>
            <w:tcW w:w="3362"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地面瓷片、墙膏、吊顶及墙裙、门窗、水电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1"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3</w:t>
            </w:r>
          </w:p>
        </w:tc>
        <w:tc>
          <w:tcPr>
            <w:tcW w:w="1380" w:type="dxa"/>
            <w:vMerge w:val="continue"/>
            <w:tcBorders>
              <w:left w:val="nil"/>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p>
        </w:tc>
        <w:tc>
          <w:tcPr>
            <w:tcW w:w="840" w:type="dxa"/>
            <w:vMerge w:val="continue"/>
            <w:tcBorders>
              <w:left w:val="nil"/>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p>
        </w:tc>
        <w:tc>
          <w:tcPr>
            <w:tcW w:w="1425"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lang w:val="en-US" w:eastAsia="zh-CN"/>
              </w:rPr>
              <w:t>60</w:t>
            </w:r>
            <w:r>
              <w:rPr>
                <w:rFonts w:hint="eastAsia" w:ascii="仿宋_GB2312" w:hAnsi="仿宋_GB2312" w:eastAsia="仿宋_GB2312" w:cs="仿宋_GB2312"/>
                <w:kern w:val="2"/>
                <w:sz w:val="28"/>
                <w:szCs w:val="28"/>
              </w:rPr>
              <w:t>0</w:t>
            </w:r>
          </w:p>
        </w:tc>
        <w:tc>
          <w:tcPr>
            <w:tcW w:w="138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低</w:t>
            </w:r>
            <w:r>
              <w:rPr>
                <w:rFonts w:hint="eastAsia" w:ascii="仿宋_GB2312" w:hAnsi="仿宋_GB2312" w:eastAsia="仿宋_GB2312" w:cs="仿宋_GB2312"/>
                <w:kern w:val="2"/>
                <w:sz w:val="28"/>
                <w:szCs w:val="28"/>
                <w:lang w:eastAsia="zh-CN"/>
              </w:rPr>
              <w:t>档</w:t>
            </w:r>
            <w:r>
              <w:rPr>
                <w:rFonts w:hint="eastAsia" w:ascii="仿宋_GB2312" w:hAnsi="仿宋_GB2312" w:eastAsia="仿宋_GB2312" w:cs="仿宋_GB2312"/>
                <w:kern w:val="2"/>
                <w:sz w:val="28"/>
                <w:szCs w:val="28"/>
              </w:rPr>
              <w:t>装修</w:t>
            </w:r>
          </w:p>
        </w:tc>
        <w:tc>
          <w:tcPr>
            <w:tcW w:w="3362"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地面瓷片、墙膏、门窗、水电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1"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lang w:val="en-US" w:eastAsia="zh-CN"/>
              </w:rPr>
              <w:t>4</w:t>
            </w:r>
          </w:p>
        </w:tc>
        <w:tc>
          <w:tcPr>
            <w:tcW w:w="1380" w:type="dxa"/>
            <w:vMerge w:val="continue"/>
            <w:tcBorders>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p>
        </w:tc>
        <w:tc>
          <w:tcPr>
            <w:tcW w:w="840" w:type="dxa"/>
            <w:vMerge w:val="continue"/>
            <w:tcBorders>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p>
        </w:tc>
        <w:tc>
          <w:tcPr>
            <w:tcW w:w="1425"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lang w:val="en-US" w:eastAsia="zh-CN"/>
              </w:rPr>
              <w:t>3</w:t>
            </w:r>
            <w:r>
              <w:rPr>
                <w:rFonts w:hint="eastAsia" w:ascii="仿宋_GB2312" w:hAnsi="仿宋_GB2312" w:eastAsia="仿宋_GB2312" w:cs="仿宋_GB2312"/>
                <w:kern w:val="2"/>
                <w:sz w:val="28"/>
                <w:szCs w:val="28"/>
              </w:rPr>
              <w:t>00</w:t>
            </w:r>
          </w:p>
        </w:tc>
        <w:tc>
          <w:tcPr>
            <w:tcW w:w="1380"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普通装修</w:t>
            </w:r>
          </w:p>
        </w:tc>
        <w:tc>
          <w:tcPr>
            <w:tcW w:w="3362" w:type="dxa"/>
            <w:tcBorders>
              <w:top w:val="single" w:color="auto" w:sz="4" w:space="0"/>
              <w:left w:val="nil"/>
              <w:bottom w:val="single" w:color="auto" w:sz="4" w:space="0"/>
              <w:right w:val="single" w:color="auto" w:sz="4" w:space="0"/>
            </w:tcBorders>
            <w:noWrap/>
            <w:vAlign w:val="center"/>
          </w:tcPr>
          <w:p>
            <w:pPr>
              <w:widowControl/>
              <w:numPr>
                <w:ilvl w:val="0"/>
                <w:numId w:val="0"/>
              </w:numPr>
              <w:spacing w:line="36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水泥地面、墙膏、门窗、水电</w:t>
            </w:r>
          </w:p>
        </w:tc>
      </w:tr>
    </w:tbl>
    <w:p>
      <w:pPr>
        <w:numPr>
          <w:ilvl w:val="-1"/>
          <w:numId w:val="0"/>
        </w:num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备注：</w:t>
      </w:r>
      <w:r>
        <w:rPr>
          <w:rFonts w:hint="eastAsia" w:ascii="仿宋_GB2312" w:hAnsi="仿宋_GB2312" w:eastAsia="仿宋_GB2312" w:cs="仿宋_GB2312"/>
          <w:sz w:val="28"/>
          <w:szCs w:val="28"/>
        </w:rPr>
        <w:t>若装修档次不符按照评估公司现场评估为准。</w:t>
      </w:r>
    </w:p>
    <w:p>
      <w:pPr>
        <w:spacing w:line="360" w:lineRule="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）附属设施补偿标准</w:t>
      </w:r>
      <w:r>
        <w:rPr>
          <w:rFonts w:hint="eastAsia" w:ascii="仿宋_GB2312" w:hAnsi="仿宋_GB2312" w:eastAsia="仿宋_GB2312" w:cs="仿宋_GB2312"/>
          <w:b/>
          <w:bCs/>
          <w:sz w:val="28"/>
          <w:szCs w:val="28"/>
          <w:lang w:val="en-US" w:eastAsia="zh-CN"/>
        </w:rPr>
        <w:t>表</w:t>
      </w:r>
    </w:p>
    <w:tbl>
      <w:tblPr>
        <w:tblStyle w:val="10"/>
        <w:tblW w:w="9667" w:type="dxa"/>
        <w:tblInd w:w="191" w:type="dxa"/>
        <w:tblLayout w:type="autofit"/>
        <w:tblCellMar>
          <w:top w:w="0" w:type="dxa"/>
          <w:left w:w="108" w:type="dxa"/>
          <w:bottom w:w="0" w:type="dxa"/>
          <w:right w:w="108" w:type="dxa"/>
        </w:tblCellMar>
      </w:tblPr>
      <w:tblGrid>
        <w:gridCol w:w="787"/>
        <w:gridCol w:w="6638"/>
        <w:gridCol w:w="795"/>
        <w:gridCol w:w="1447"/>
      </w:tblGrid>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663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项目名称</w:t>
            </w:r>
          </w:p>
        </w:tc>
        <w:tc>
          <w:tcPr>
            <w:tcW w:w="7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单位</w:t>
            </w:r>
          </w:p>
        </w:tc>
        <w:tc>
          <w:tcPr>
            <w:tcW w:w="144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单价（元）</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6638"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简易结构（红砖铁皮瓦）</w:t>
            </w:r>
          </w:p>
        </w:tc>
        <w:tc>
          <w:tcPr>
            <w:tcW w:w="7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350</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6638"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sz w:val="28"/>
                <w:szCs w:val="28"/>
              </w:rPr>
              <w:t>简易棚房、房间、杂物间、栏舍</w:t>
            </w:r>
          </w:p>
        </w:tc>
        <w:tc>
          <w:tcPr>
            <w:tcW w:w="7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val="en-US"/>
              </w:rPr>
              <w:t>0</w:t>
            </w:r>
            <w:r>
              <w:rPr>
                <w:rFonts w:hint="eastAsia" w:ascii="仿宋_GB2312" w:hAnsi="仿宋_GB2312" w:eastAsia="仿宋_GB2312" w:cs="仿宋_GB2312"/>
                <w:sz w:val="28"/>
                <w:szCs w:val="28"/>
              </w:rPr>
              <w:t>0</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p>
        </w:tc>
        <w:tc>
          <w:tcPr>
            <w:tcW w:w="6638"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2"/>
                <w:sz w:val="28"/>
                <w:szCs w:val="28"/>
                <w:u w:val="none"/>
                <w:lang w:val="en-US" w:eastAsia="zh-CN" w:bidi="ar-SA"/>
              </w:rPr>
              <w:t>简易养鸡场（竹木瓦结构、外墙围护砌墙不低于1M）</w:t>
            </w:r>
          </w:p>
        </w:tc>
        <w:tc>
          <w:tcPr>
            <w:tcW w:w="795"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0"/>
                <w:sz w:val="28"/>
                <w:szCs w:val="28"/>
                <w:u w:val="none"/>
                <w:lang w:val="en-US" w:eastAsia="zh-CN" w:bidi="ar"/>
              </w:rPr>
              <w:t>100</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p>
        </w:tc>
        <w:tc>
          <w:tcPr>
            <w:tcW w:w="6638"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2"/>
                <w:sz w:val="28"/>
                <w:szCs w:val="28"/>
                <w:u w:val="none"/>
                <w:lang w:val="en-US" w:eastAsia="zh-CN" w:bidi="ar-SA"/>
              </w:rPr>
              <w:t>标准养鸡场（砖木瓦结构、外墙围护砌墙不低于1M）</w:t>
            </w:r>
          </w:p>
        </w:tc>
        <w:tc>
          <w:tcPr>
            <w:tcW w:w="795"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0"/>
                <w:sz w:val="28"/>
                <w:szCs w:val="28"/>
                <w:u w:val="none"/>
                <w:lang w:val="en-US" w:eastAsia="zh-CN" w:bidi="ar"/>
              </w:rPr>
              <w:t>200</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w:t>
            </w:r>
          </w:p>
        </w:tc>
        <w:tc>
          <w:tcPr>
            <w:tcW w:w="6638"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0"/>
                <w:sz w:val="28"/>
                <w:szCs w:val="28"/>
                <w:u w:val="none"/>
                <w:lang w:val="en-US" w:eastAsia="zh-CN" w:bidi="ar"/>
              </w:rPr>
              <w:t>养猪场（</w:t>
            </w:r>
            <w:r>
              <w:rPr>
                <w:rFonts w:hint="eastAsia" w:ascii="仿宋_GB2312" w:hAnsi="仿宋_GB2312" w:eastAsia="仿宋_GB2312" w:cs="仿宋_GB2312"/>
                <w:i w:val="0"/>
                <w:color w:val="000000"/>
                <w:kern w:val="2"/>
                <w:sz w:val="28"/>
                <w:szCs w:val="28"/>
                <w:u w:val="none"/>
                <w:lang w:val="en-US" w:eastAsia="zh-CN" w:bidi="ar-SA"/>
              </w:rPr>
              <w:t>砖木瓦结构、外墙围护砌墙不低于1M、水泥砂浆地面、水电设备齐全、排水排污设施配套</w:t>
            </w:r>
            <w:r>
              <w:rPr>
                <w:rFonts w:hint="eastAsia" w:ascii="仿宋_GB2312" w:hAnsi="仿宋_GB2312" w:eastAsia="仿宋_GB2312" w:cs="仿宋_GB2312"/>
                <w:i w:val="0"/>
                <w:color w:val="000000"/>
                <w:kern w:val="0"/>
                <w:sz w:val="28"/>
                <w:szCs w:val="28"/>
                <w:u w:val="none"/>
                <w:lang w:val="en-US" w:eastAsia="zh-CN" w:bidi="ar"/>
              </w:rPr>
              <w:t>）</w:t>
            </w:r>
          </w:p>
        </w:tc>
        <w:tc>
          <w:tcPr>
            <w:tcW w:w="795"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2"/>
                <w:sz w:val="28"/>
                <w:szCs w:val="28"/>
                <w:u w:val="none"/>
                <w:lang w:val="en-US" w:eastAsia="zh-CN" w:bidi="ar-SA"/>
              </w:rPr>
            </w:pPr>
            <w:r>
              <w:rPr>
                <w:rFonts w:hint="eastAsia" w:ascii="仿宋_GB2312" w:hAnsi="仿宋_GB2312" w:eastAsia="仿宋_GB2312" w:cs="仿宋_GB2312"/>
                <w:i w:val="0"/>
                <w:color w:val="000000"/>
                <w:kern w:val="0"/>
                <w:sz w:val="28"/>
                <w:szCs w:val="28"/>
                <w:u w:val="none"/>
                <w:lang w:val="en-US" w:eastAsia="zh-CN" w:bidi="ar"/>
              </w:rPr>
              <w:t>350</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p>
        </w:tc>
        <w:tc>
          <w:tcPr>
            <w:tcW w:w="6638"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i w:val="0"/>
                <w:color w:val="000000"/>
                <w:kern w:val="0"/>
                <w:sz w:val="28"/>
                <w:szCs w:val="28"/>
                <w:u w:val="none"/>
                <w:lang w:val="en-US" w:eastAsia="zh-CN" w:bidi="ar"/>
              </w:rPr>
              <w:t>养猪场（</w:t>
            </w:r>
            <w:r>
              <w:rPr>
                <w:rFonts w:hint="eastAsia" w:ascii="仿宋_GB2312" w:hAnsi="仿宋_GB2312" w:eastAsia="仿宋_GB2312" w:cs="仿宋_GB2312"/>
                <w:i w:val="0"/>
                <w:color w:val="000000"/>
                <w:kern w:val="2"/>
                <w:sz w:val="28"/>
                <w:szCs w:val="28"/>
                <w:u w:val="none"/>
                <w:lang w:val="en-US" w:eastAsia="zh-CN" w:bidi="ar-SA"/>
              </w:rPr>
              <w:t>砖木瓦结构、外墙全砌砖围护、水泥砂浆地面、水电设备齐全、排水排污设施配套</w:t>
            </w:r>
            <w:r>
              <w:rPr>
                <w:rFonts w:hint="eastAsia" w:ascii="仿宋_GB2312" w:hAnsi="仿宋_GB2312" w:eastAsia="仿宋_GB2312" w:cs="仿宋_GB2312"/>
                <w:i w:val="0"/>
                <w:color w:val="000000"/>
                <w:kern w:val="0"/>
                <w:sz w:val="28"/>
                <w:szCs w:val="28"/>
                <w:u w:val="none"/>
                <w:lang w:val="en-US" w:eastAsia="zh-CN" w:bidi="ar"/>
              </w:rPr>
              <w:t>）</w:t>
            </w:r>
          </w:p>
        </w:tc>
        <w:tc>
          <w:tcPr>
            <w:tcW w:w="7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w:t>
            </w:r>
          </w:p>
        </w:tc>
      </w:tr>
      <w:tr>
        <w:tblPrEx>
          <w:tblCellMar>
            <w:top w:w="0" w:type="dxa"/>
            <w:left w:w="108" w:type="dxa"/>
            <w:bottom w:w="0" w:type="dxa"/>
            <w:right w:w="108" w:type="dxa"/>
          </w:tblCellMar>
        </w:tblPrEx>
        <w:trPr>
          <w:trHeight w:val="624" w:hRule="atLeast"/>
        </w:trPr>
        <w:tc>
          <w:tcPr>
            <w:tcW w:w="7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w:t>
            </w:r>
          </w:p>
        </w:tc>
        <w:tc>
          <w:tcPr>
            <w:tcW w:w="6638"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i w:val="0"/>
                <w:color w:val="000000"/>
                <w:kern w:val="0"/>
                <w:sz w:val="28"/>
                <w:szCs w:val="28"/>
                <w:u w:val="none"/>
                <w:lang w:val="en-US" w:eastAsia="zh-CN" w:bidi="ar"/>
              </w:rPr>
              <w:t>养猪场（</w:t>
            </w:r>
            <w:r>
              <w:rPr>
                <w:rFonts w:hint="eastAsia" w:ascii="仿宋_GB2312" w:hAnsi="仿宋_GB2312" w:eastAsia="仿宋_GB2312" w:cs="仿宋_GB2312"/>
                <w:i w:val="0"/>
                <w:color w:val="000000"/>
                <w:kern w:val="2"/>
                <w:sz w:val="28"/>
                <w:szCs w:val="28"/>
                <w:u w:val="none"/>
                <w:lang w:val="en-US" w:eastAsia="zh-CN" w:bidi="ar-SA"/>
              </w:rPr>
              <w:t>硂结构、外墙砌砖或铝合金窗围护、水泥砂浆地面、水电设备齐全、排水排污设施配套</w:t>
            </w:r>
            <w:r>
              <w:rPr>
                <w:rFonts w:hint="eastAsia" w:ascii="仿宋_GB2312" w:hAnsi="仿宋_GB2312" w:eastAsia="仿宋_GB2312" w:cs="仿宋_GB2312"/>
                <w:i w:val="0"/>
                <w:color w:val="000000"/>
                <w:kern w:val="0"/>
                <w:sz w:val="28"/>
                <w:szCs w:val="28"/>
                <w:u w:val="none"/>
                <w:lang w:val="en-US" w:eastAsia="zh-CN" w:bidi="ar"/>
              </w:rPr>
              <w:t>）</w:t>
            </w:r>
          </w:p>
        </w:tc>
        <w:tc>
          <w:tcPr>
            <w:tcW w:w="79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w:t>
            </w:r>
          </w:p>
        </w:tc>
        <w:tc>
          <w:tcPr>
            <w:tcW w:w="144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650</w:t>
            </w:r>
          </w:p>
        </w:tc>
      </w:tr>
    </w:tbl>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备注：上述各项均包含</w:t>
      </w:r>
      <w:r>
        <w:rPr>
          <w:rFonts w:hint="eastAsia" w:ascii="仿宋_GB2312" w:hAnsi="仿宋_GB2312" w:eastAsia="仿宋_GB2312" w:cs="仿宋_GB2312"/>
          <w:sz w:val="28"/>
          <w:szCs w:val="28"/>
          <w:lang w:val="zh-CN"/>
        </w:rPr>
        <w:t>人工、材料、辅料、机械设备等费用，</w:t>
      </w:r>
      <w:r>
        <w:rPr>
          <w:rFonts w:hint="eastAsia" w:ascii="仿宋_GB2312" w:hAnsi="仿宋_GB2312" w:eastAsia="仿宋_GB2312" w:cs="仿宋_GB2312"/>
          <w:sz w:val="28"/>
          <w:szCs w:val="28"/>
        </w:rPr>
        <w:t>未考虑成新率及扣除折旧。</w:t>
      </w:r>
    </w:p>
    <w:p>
      <w:pPr>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三</w:t>
      </w:r>
      <w:r>
        <w:rPr>
          <w:rFonts w:hint="eastAsia" w:ascii="仿宋" w:hAnsi="仿宋" w:eastAsia="仿宋" w:cs="仿宋"/>
          <w:b/>
          <w:bCs/>
          <w:sz w:val="28"/>
          <w:szCs w:val="28"/>
          <w:lang w:eastAsia="zh-CN"/>
        </w:rPr>
        <w:t>）</w:t>
      </w:r>
      <w:r>
        <w:rPr>
          <w:rFonts w:hint="eastAsia" w:ascii="仿宋" w:hAnsi="仿宋" w:eastAsia="仿宋" w:cs="仿宋"/>
          <w:b/>
          <w:bCs/>
          <w:sz w:val="28"/>
          <w:szCs w:val="28"/>
        </w:rPr>
        <w:t>构筑物补偿标准</w:t>
      </w:r>
      <w:r>
        <w:rPr>
          <w:rFonts w:hint="eastAsia" w:ascii="仿宋" w:hAnsi="仿宋" w:eastAsia="仿宋" w:cs="仿宋"/>
          <w:b/>
          <w:bCs/>
          <w:sz w:val="28"/>
          <w:szCs w:val="28"/>
          <w:lang w:val="en-US" w:eastAsia="zh-CN"/>
        </w:rPr>
        <w:t>表</w:t>
      </w:r>
    </w:p>
    <w:tbl>
      <w:tblPr>
        <w:tblStyle w:val="10"/>
        <w:tblW w:w="4998" w:type="pct"/>
        <w:tblInd w:w="0" w:type="dxa"/>
        <w:tblLayout w:type="autofit"/>
        <w:tblCellMar>
          <w:top w:w="0" w:type="dxa"/>
          <w:left w:w="108" w:type="dxa"/>
          <w:bottom w:w="0" w:type="dxa"/>
          <w:right w:w="108" w:type="dxa"/>
        </w:tblCellMar>
      </w:tblPr>
      <w:tblGrid>
        <w:gridCol w:w="911"/>
        <w:gridCol w:w="3997"/>
        <w:gridCol w:w="1062"/>
        <w:gridCol w:w="1474"/>
        <w:gridCol w:w="2514"/>
      </w:tblGrid>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序号</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项目名称</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单位</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单</w:t>
            </w:r>
            <w:r>
              <w:rPr>
                <w:rFonts w:hint="eastAsia" w:ascii="仿宋" w:hAnsi="仿宋" w:eastAsia="仿宋" w:cs="仿宋"/>
                <w:b/>
                <w:bCs/>
                <w:color w:val="auto"/>
                <w:sz w:val="28"/>
                <w:szCs w:val="28"/>
                <w:lang w:val="en-US" w:eastAsia="zh-CN"/>
              </w:rPr>
              <w:t>价</w:t>
            </w:r>
            <w:r>
              <w:rPr>
                <w:rFonts w:hint="eastAsia" w:ascii="仿宋" w:hAnsi="仿宋" w:eastAsia="仿宋" w:cs="仿宋"/>
                <w:b/>
                <w:bCs/>
                <w:color w:val="auto"/>
                <w:sz w:val="28"/>
                <w:szCs w:val="28"/>
              </w:rPr>
              <w:t>（元）</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备 注</w:t>
            </w: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晒</w:t>
            </w:r>
            <w:r>
              <w:rPr>
                <w:rFonts w:hint="eastAsia" w:ascii="仿宋" w:hAnsi="仿宋" w:eastAsia="仿宋" w:cs="仿宋"/>
                <w:color w:val="auto"/>
                <w:sz w:val="28"/>
                <w:szCs w:val="28"/>
              </w:rPr>
              <w:t>坪</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砖墙、围墙（未批档）</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color w:val="auto"/>
                <w:sz w:val="28"/>
                <w:szCs w:val="28"/>
                <w:lang w:val="en-US" w:eastAsia="zh-CN"/>
              </w:rPr>
              <w:t>㎡</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160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砖墙、围墙（已批档）</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color w:val="auto"/>
                <w:sz w:val="28"/>
                <w:szCs w:val="28"/>
                <w:lang w:val="en-US" w:eastAsia="zh-CN"/>
              </w:rPr>
              <w:t>㎡</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180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层基</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color w:val="auto"/>
                <w:sz w:val="28"/>
                <w:szCs w:val="28"/>
                <w:lang w:val="en-US" w:eastAsia="zh-CN"/>
              </w:rPr>
              <w:t>㎡</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450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numPr>
                <w:ilvl w:val="0"/>
                <w:numId w:val="0"/>
              </w:numPr>
              <w:suppressLineNumbers w:val="0"/>
              <w:spacing w:before="45" w:after="45"/>
              <w:ind w:left="360"/>
              <w:jc w:val="center"/>
              <w:textAlignment w:val="auto"/>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毛石挡土墙</w:t>
            </w:r>
            <w:r>
              <w:rPr>
                <w:rFonts w:hint="eastAsia" w:ascii="仿宋" w:hAnsi="仿宋" w:eastAsia="仿宋" w:cs="仿宋"/>
                <w:i w:val="0"/>
                <w:color w:val="auto"/>
                <w:kern w:val="2"/>
                <w:sz w:val="28"/>
                <w:szCs w:val="28"/>
                <w:u w:val="none"/>
                <w:lang w:val="en-US" w:eastAsia="zh-CN" w:bidi="ar"/>
              </w:rPr>
              <w:t>（</w:t>
            </w:r>
            <w:r>
              <w:rPr>
                <w:rFonts w:hint="eastAsia" w:ascii="仿宋" w:hAnsi="仿宋" w:eastAsia="仿宋" w:cs="仿宋"/>
                <w:b w:val="0"/>
                <w:i w:val="0"/>
                <w:caps w:val="0"/>
                <w:color w:val="auto"/>
                <w:spacing w:val="0"/>
                <w:sz w:val="28"/>
                <w:szCs w:val="28"/>
                <w:shd w:val="clear" w:fill="auto"/>
              </w:rPr>
              <w:t>砼</w:t>
            </w:r>
            <w:r>
              <w:rPr>
                <w:rFonts w:hint="eastAsia" w:ascii="仿宋" w:hAnsi="仿宋" w:eastAsia="仿宋" w:cs="仿宋"/>
                <w:i w:val="0"/>
                <w:color w:val="auto"/>
                <w:kern w:val="2"/>
                <w:sz w:val="28"/>
                <w:szCs w:val="28"/>
                <w:u w:val="none"/>
                <w:lang w:val="en-US" w:eastAsia="zh-CN" w:bidi="ar"/>
              </w:rPr>
              <w:t>）</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m³</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0"/>
                <w:sz w:val="28"/>
                <w:szCs w:val="28"/>
                <w:u w:val="none"/>
                <w:lang w:val="en-US" w:eastAsia="zh-CN" w:bidi="ar"/>
              </w:rPr>
              <w:t>350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水泥路</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m</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450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4米宽</w:t>
            </w: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val="0"/>
                <w:color w:val="auto"/>
                <w:sz w:val="28"/>
                <w:szCs w:val="28"/>
                <w:lang w:val="en-US" w:eastAsia="zh-CN"/>
              </w:rPr>
            </w:pPr>
            <w:r>
              <w:rPr>
                <w:rFonts w:hint="eastAsia" w:ascii="仿宋" w:hAnsi="仿宋" w:eastAsia="仿宋" w:cs="仿宋"/>
                <w:strike w:val="0"/>
                <w:color w:val="auto"/>
                <w:sz w:val="28"/>
                <w:szCs w:val="28"/>
                <w:lang w:val="en-US" w:eastAsia="zh-CN"/>
              </w:rPr>
              <w:t>7</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color w:val="auto"/>
                <w:sz w:val="28"/>
                <w:szCs w:val="28"/>
                <w:lang w:eastAsia="zh-CN"/>
              </w:rPr>
            </w:pPr>
            <w:r>
              <w:rPr>
                <w:rFonts w:hint="eastAsia" w:ascii="仿宋" w:hAnsi="仿宋" w:eastAsia="仿宋" w:cs="仿宋"/>
                <w:strike w:val="0"/>
                <w:color w:val="auto"/>
                <w:sz w:val="28"/>
                <w:szCs w:val="28"/>
                <w:lang w:val="en-US" w:eastAsia="zh-CN"/>
              </w:rPr>
              <w:t>500#</w:t>
            </w:r>
            <w:r>
              <w:rPr>
                <w:rFonts w:hint="eastAsia" w:ascii="仿宋" w:hAnsi="仿宋" w:eastAsia="仿宋" w:cs="仿宋"/>
                <w:strike w:val="0"/>
                <w:color w:val="auto"/>
                <w:sz w:val="28"/>
                <w:szCs w:val="28"/>
                <w:lang w:eastAsia="zh-CN"/>
              </w:rPr>
              <w:t>混泥土</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color w:val="auto"/>
                <w:sz w:val="28"/>
                <w:szCs w:val="28"/>
                <w:lang w:val="en-US" w:eastAsia="zh-CN"/>
              </w:rPr>
            </w:pPr>
            <w:r>
              <w:rPr>
                <w:rFonts w:hint="eastAsia" w:ascii="仿宋" w:hAnsi="仿宋" w:eastAsia="仿宋" w:cs="仿宋"/>
                <w:i w:val="0"/>
                <w:color w:val="auto"/>
                <w:kern w:val="0"/>
                <w:sz w:val="28"/>
                <w:szCs w:val="28"/>
                <w:u w:val="none"/>
                <w:lang w:val="en-US" w:eastAsia="zh-CN" w:bidi="ar"/>
              </w:rPr>
              <w:t>m³</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color w:val="auto"/>
                <w:sz w:val="28"/>
                <w:szCs w:val="28"/>
                <w:lang w:val="en-US" w:eastAsia="zh-CN"/>
              </w:rPr>
            </w:pPr>
            <w:r>
              <w:rPr>
                <w:rFonts w:hint="eastAsia" w:ascii="仿宋" w:hAnsi="仿宋" w:eastAsia="仿宋" w:cs="仿宋"/>
                <w:strike w:val="0"/>
                <w:color w:val="auto"/>
                <w:sz w:val="28"/>
                <w:szCs w:val="28"/>
                <w:lang w:val="en-US" w:eastAsia="zh-CN"/>
              </w:rPr>
              <w:t>450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val="0"/>
                <w:color w:val="auto"/>
                <w:sz w:val="28"/>
                <w:szCs w:val="28"/>
                <w:lang w:val="en-US" w:eastAsia="zh-CN"/>
              </w:rPr>
            </w:pPr>
            <w:r>
              <w:rPr>
                <w:rFonts w:hint="eastAsia" w:ascii="仿宋" w:hAnsi="仿宋" w:eastAsia="仿宋" w:cs="仿宋"/>
                <w:strike w:val="0"/>
                <w:color w:val="auto"/>
                <w:sz w:val="28"/>
                <w:szCs w:val="28"/>
                <w:lang w:val="en-US" w:eastAsia="zh-CN"/>
              </w:rPr>
              <w:t>8</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val="0"/>
                <w:color w:val="auto"/>
                <w:sz w:val="28"/>
                <w:szCs w:val="28"/>
                <w:lang w:val="en-US" w:eastAsia="zh-CN"/>
              </w:rPr>
            </w:pPr>
            <w:r>
              <w:rPr>
                <w:rFonts w:hint="eastAsia" w:ascii="仿宋" w:hAnsi="仿宋" w:eastAsia="仿宋" w:cs="仿宋"/>
                <w:strike w:val="0"/>
                <w:color w:val="auto"/>
                <w:sz w:val="28"/>
                <w:szCs w:val="28"/>
                <w:lang w:val="en-US" w:eastAsia="zh-CN"/>
              </w:rPr>
              <w:t>架线费</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i w:val="0"/>
                <w:color w:val="auto"/>
                <w:kern w:val="0"/>
                <w:sz w:val="28"/>
                <w:szCs w:val="28"/>
                <w:u w:val="none"/>
                <w:lang w:val="en-US" w:eastAsia="zh-CN" w:bidi="ar"/>
              </w:rPr>
            </w:pPr>
            <w:r>
              <w:rPr>
                <w:rFonts w:hint="eastAsia" w:ascii="仿宋" w:hAnsi="仿宋" w:eastAsia="仿宋" w:cs="仿宋"/>
                <w:i w:val="0"/>
                <w:color w:val="auto"/>
                <w:kern w:val="0"/>
                <w:sz w:val="28"/>
                <w:szCs w:val="28"/>
                <w:u w:val="none"/>
                <w:lang w:val="en-US" w:eastAsia="zh-CN" w:bidi="ar"/>
              </w:rPr>
              <w:t>m</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val="0"/>
                <w:color w:val="auto"/>
                <w:sz w:val="28"/>
                <w:szCs w:val="28"/>
                <w:lang w:val="en-US" w:eastAsia="zh-CN"/>
              </w:rPr>
            </w:pPr>
            <w:r>
              <w:rPr>
                <w:rFonts w:hint="eastAsia" w:ascii="仿宋" w:hAnsi="仿宋" w:eastAsia="仿宋" w:cs="仿宋"/>
                <w:strike w:val="0"/>
                <w:color w:val="auto"/>
                <w:sz w:val="28"/>
                <w:szCs w:val="28"/>
                <w:lang w:val="en-US" w:eastAsia="zh-CN"/>
              </w:rPr>
              <w:t>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strike/>
                <w:color w:val="auto"/>
                <w:sz w:val="28"/>
                <w:szCs w:val="28"/>
                <w:lang w:eastAsia="zh-CN"/>
              </w:rPr>
            </w:pPr>
            <w:r>
              <w:rPr>
                <w:rFonts w:hint="eastAsia" w:ascii="仿宋" w:hAnsi="仿宋" w:eastAsia="仿宋" w:cs="仿宋"/>
                <w:strike w:val="0"/>
                <w:color w:val="auto"/>
                <w:sz w:val="28"/>
                <w:szCs w:val="28"/>
                <w:lang w:eastAsia="zh-CN"/>
              </w:rPr>
              <w:t>三相四线含线杆</w:t>
            </w: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9</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泥堤坝</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i w:val="0"/>
                <w:color w:val="auto"/>
                <w:kern w:val="0"/>
                <w:sz w:val="28"/>
                <w:szCs w:val="28"/>
                <w:u w:val="none"/>
                <w:lang w:val="en-US" w:eastAsia="zh-CN" w:bidi="ar"/>
              </w:rPr>
              <w:t>m³</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15</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大型水井</w:t>
            </w:r>
            <w:r>
              <w:rPr>
                <w:rFonts w:hint="eastAsia" w:ascii="仿宋" w:hAnsi="仿宋" w:eastAsia="仿宋" w:cs="仿宋"/>
                <w:color w:val="auto"/>
                <w:sz w:val="28"/>
                <w:szCs w:val="28"/>
                <w:lang w:eastAsia="zh-CN"/>
              </w:rPr>
              <w:t>（水井）</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r>
              <w:rPr>
                <w:rFonts w:hint="eastAsia" w:ascii="仿宋" w:hAnsi="仿宋" w:eastAsia="仿宋" w:cs="仿宋"/>
                <w:i w:val="0"/>
                <w:color w:val="auto"/>
                <w:kern w:val="0"/>
                <w:sz w:val="28"/>
                <w:szCs w:val="28"/>
                <w:u w:val="none"/>
                <w:lang w:val="en-US" w:eastAsia="zh-CN" w:bidi="ar"/>
              </w:rPr>
              <w:t>m³</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zh-CN"/>
              </w:rPr>
              <w:t>凿石水井</w:t>
            </w: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1</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水利设施（三面光）</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m</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50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底宽&gt;25cm</w:t>
            </w: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12</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门楼（宽2米以内）</w:t>
            </w:r>
          </w:p>
        </w:tc>
        <w:tc>
          <w:tcPr>
            <w:tcW w:w="533"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座</w:t>
            </w:r>
          </w:p>
        </w:tc>
        <w:tc>
          <w:tcPr>
            <w:tcW w:w="740"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3000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13</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炉灶</w:t>
            </w:r>
          </w:p>
        </w:tc>
        <w:tc>
          <w:tcPr>
            <w:tcW w:w="533"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套</w:t>
            </w:r>
          </w:p>
        </w:tc>
        <w:tc>
          <w:tcPr>
            <w:tcW w:w="740"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2500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14</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水泥涵管（DN300）</w:t>
            </w:r>
          </w:p>
        </w:tc>
        <w:tc>
          <w:tcPr>
            <w:tcW w:w="533"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m</w:t>
            </w:r>
          </w:p>
        </w:tc>
        <w:tc>
          <w:tcPr>
            <w:tcW w:w="740"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130</w:t>
            </w:r>
          </w:p>
        </w:tc>
        <w:tc>
          <w:tcPr>
            <w:tcW w:w="1262"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15</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水泥涵管（DN500）</w:t>
            </w:r>
          </w:p>
        </w:tc>
        <w:tc>
          <w:tcPr>
            <w:tcW w:w="533"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m</w:t>
            </w:r>
          </w:p>
        </w:tc>
        <w:tc>
          <w:tcPr>
            <w:tcW w:w="740"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180</w:t>
            </w:r>
          </w:p>
        </w:tc>
        <w:tc>
          <w:tcPr>
            <w:tcW w:w="1262"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16</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户外水管D20（PVC）</w:t>
            </w:r>
          </w:p>
        </w:tc>
        <w:tc>
          <w:tcPr>
            <w:tcW w:w="53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m</w:t>
            </w:r>
          </w:p>
        </w:tc>
        <w:tc>
          <w:tcPr>
            <w:tcW w:w="74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1</w:t>
            </w:r>
            <w:r>
              <w:rPr>
                <w:rFonts w:hint="eastAsia" w:ascii="仿宋" w:hAnsi="仿宋" w:eastAsia="仿宋" w:cs="仿宋"/>
                <w:color w:val="auto"/>
                <w:kern w:val="2"/>
                <w:sz w:val="28"/>
                <w:szCs w:val="28"/>
                <w:lang w:val="en-US" w:eastAsia="zh-CN"/>
              </w:rPr>
              <w:t>0</w:t>
            </w:r>
          </w:p>
        </w:tc>
        <w:tc>
          <w:tcPr>
            <w:tcW w:w="126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含管件</w:t>
            </w: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17</w:t>
            </w:r>
          </w:p>
        </w:tc>
        <w:tc>
          <w:tcPr>
            <w:tcW w:w="2006"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eastAsia="zh-CN"/>
              </w:rPr>
              <w:t>户外</w:t>
            </w:r>
            <w:r>
              <w:rPr>
                <w:rFonts w:hint="eastAsia" w:ascii="仿宋" w:hAnsi="仿宋" w:eastAsia="仿宋" w:cs="仿宋"/>
                <w:color w:val="auto"/>
                <w:sz w:val="28"/>
                <w:szCs w:val="28"/>
              </w:rPr>
              <w:t>水池</w:t>
            </w:r>
          </w:p>
        </w:tc>
        <w:tc>
          <w:tcPr>
            <w:tcW w:w="533"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i w:val="0"/>
                <w:color w:val="auto"/>
                <w:kern w:val="0"/>
                <w:sz w:val="28"/>
                <w:szCs w:val="28"/>
                <w:u w:val="none"/>
                <w:lang w:val="en-US" w:eastAsia="zh-CN" w:bidi="ar"/>
              </w:rPr>
              <w:t>m³</w:t>
            </w:r>
          </w:p>
        </w:tc>
        <w:tc>
          <w:tcPr>
            <w:tcW w:w="740"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00</w:t>
            </w:r>
          </w:p>
        </w:tc>
        <w:tc>
          <w:tcPr>
            <w:tcW w:w="126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仿宋" w:hAnsi="仿宋" w:eastAsia="仿宋" w:cs="仿宋"/>
                <w:color w:val="auto"/>
                <w:kern w:val="2"/>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18</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手摇井</w:t>
            </w:r>
          </w:p>
        </w:tc>
        <w:tc>
          <w:tcPr>
            <w:tcW w:w="533"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口</w:t>
            </w:r>
          </w:p>
        </w:tc>
        <w:tc>
          <w:tcPr>
            <w:tcW w:w="740"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3000</w:t>
            </w:r>
          </w:p>
        </w:tc>
        <w:tc>
          <w:tcPr>
            <w:tcW w:w="126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仿宋" w:hAnsi="仿宋" w:eastAsia="仿宋" w:cs="仿宋"/>
                <w:color w:val="auto"/>
                <w:kern w:val="0"/>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19</w:t>
            </w:r>
          </w:p>
        </w:tc>
        <w:tc>
          <w:tcPr>
            <w:tcW w:w="2006"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化粪池</w:t>
            </w:r>
          </w:p>
        </w:tc>
        <w:tc>
          <w:tcPr>
            <w:tcW w:w="533"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套</w:t>
            </w:r>
          </w:p>
        </w:tc>
        <w:tc>
          <w:tcPr>
            <w:tcW w:w="740" w:type="pct"/>
            <w:tcBorders>
              <w:top w:val="single" w:color="auto" w:sz="6" w:space="0"/>
              <w:left w:val="single" w:color="auto" w:sz="6" w:space="0"/>
              <w:bottom w:val="single" w:color="auto" w:sz="6" w:space="0"/>
              <w:right w:val="single" w:color="auto" w:sz="6" w:space="0"/>
            </w:tcBorders>
            <w:vAlign w:val="center"/>
          </w:tcPr>
          <w:p>
            <w:pPr>
              <w:autoSpaceDE/>
              <w:autoSpaceDN/>
              <w:adjustRightInd/>
              <w:spacing w:line="360" w:lineRule="auto"/>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3000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2"/>
                <w:sz w:val="28"/>
                <w:szCs w:val="28"/>
                <w:u w:val="none"/>
                <w:lang w:val="en-US" w:eastAsia="zh-CN" w:bidi="ar"/>
              </w:rPr>
              <w:t>空气能、太阳能（家用）</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2"/>
                <w:sz w:val="28"/>
                <w:szCs w:val="28"/>
                <w:u w:val="none"/>
                <w:lang w:val="en-US" w:eastAsia="zh-CN" w:bidi="ar"/>
              </w:rPr>
              <w:t>套</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SA"/>
              </w:rPr>
            </w:pPr>
            <w:r>
              <w:rPr>
                <w:rFonts w:hint="eastAsia" w:ascii="仿宋" w:hAnsi="仿宋" w:eastAsia="仿宋" w:cs="仿宋"/>
                <w:i w:val="0"/>
                <w:color w:val="auto"/>
                <w:kern w:val="2"/>
                <w:sz w:val="28"/>
                <w:szCs w:val="28"/>
                <w:u w:val="none"/>
                <w:lang w:val="en-US" w:eastAsia="zh-CN" w:bidi="ar"/>
              </w:rPr>
              <w:t>6000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21</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空调移机补偿</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台</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300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22</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三线一管迁移费</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户</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1800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23</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搬迁费</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户</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2000</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rPr>
            </w:pPr>
          </w:p>
        </w:tc>
      </w:tr>
      <w:tr>
        <w:tblPrEx>
          <w:tblCellMar>
            <w:top w:w="0" w:type="dxa"/>
            <w:left w:w="108" w:type="dxa"/>
            <w:bottom w:w="0" w:type="dxa"/>
            <w:right w:w="108" w:type="dxa"/>
          </w:tblCellMar>
        </w:tblPrEx>
        <w:trPr>
          <w:trHeight w:val="714" w:hRule="atLeast"/>
        </w:trPr>
        <w:tc>
          <w:tcPr>
            <w:tcW w:w="457"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w:t>
            </w:r>
          </w:p>
        </w:tc>
        <w:tc>
          <w:tcPr>
            <w:tcW w:w="2006"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临时安置费</w:t>
            </w:r>
          </w:p>
        </w:tc>
        <w:tc>
          <w:tcPr>
            <w:tcW w:w="533"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户</w:t>
            </w:r>
          </w:p>
        </w:tc>
        <w:tc>
          <w:tcPr>
            <w:tcW w:w="740"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line="360" w:lineRule="auto"/>
              <w:jc w:val="center"/>
              <w:textAlignment w:val="auto"/>
              <w:rPr>
                <w:rFonts w:hint="eastAsia" w:ascii="仿宋" w:hAnsi="仿宋" w:eastAsia="仿宋" w:cs="仿宋"/>
                <w:i w:val="0"/>
                <w:color w:val="auto"/>
                <w:kern w:val="2"/>
                <w:sz w:val="28"/>
                <w:szCs w:val="28"/>
                <w:u w:val="none"/>
                <w:lang w:val="en-US" w:eastAsia="zh-CN" w:bidi="ar"/>
              </w:rPr>
            </w:pPr>
            <w:r>
              <w:rPr>
                <w:rFonts w:hint="eastAsia" w:ascii="仿宋" w:hAnsi="仿宋" w:eastAsia="仿宋" w:cs="仿宋"/>
                <w:i w:val="0"/>
                <w:color w:val="auto"/>
                <w:kern w:val="2"/>
                <w:sz w:val="28"/>
                <w:szCs w:val="28"/>
                <w:u w:val="none"/>
                <w:lang w:val="en-US" w:eastAsia="zh-CN" w:bidi="ar"/>
              </w:rPr>
              <w:t>800元/月</w:t>
            </w:r>
          </w:p>
        </w:tc>
        <w:tc>
          <w:tcPr>
            <w:tcW w:w="1262" w:type="pc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4"/>
                <w:szCs w:val="24"/>
                <w:lang w:val="en-US" w:eastAsia="zh-CN"/>
              </w:rPr>
              <w:t>按一年过度时限算，一次性支付</w:t>
            </w:r>
          </w:p>
        </w:tc>
      </w:tr>
    </w:tbl>
    <w:p>
      <w:pPr>
        <w:spacing w:line="360" w:lineRule="auto"/>
        <w:rPr>
          <w:rFonts w:hint="eastAsia" w:ascii="仿宋" w:hAnsi="仿宋" w:eastAsia="仿宋" w:cs="仿宋"/>
          <w:sz w:val="28"/>
          <w:szCs w:val="28"/>
        </w:rPr>
      </w:pPr>
      <w:r>
        <w:rPr>
          <w:rFonts w:hint="eastAsia" w:ascii="仿宋" w:hAnsi="仿宋" w:eastAsia="仿宋" w:cs="仿宋"/>
          <w:sz w:val="28"/>
          <w:szCs w:val="28"/>
        </w:rPr>
        <w:t>备注：上述各项均包含</w:t>
      </w:r>
      <w:r>
        <w:rPr>
          <w:rFonts w:hint="eastAsia" w:ascii="仿宋" w:hAnsi="仿宋" w:eastAsia="仿宋" w:cs="仿宋"/>
          <w:sz w:val="28"/>
          <w:szCs w:val="28"/>
          <w:lang w:val="zh-CN"/>
        </w:rPr>
        <w:t>人工、材料、辅料、机械设备等费用，</w:t>
      </w:r>
      <w:r>
        <w:rPr>
          <w:rFonts w:hint="eastAsia" w:ascii="仿宋" w:hAnsi="仿宋" w:eastAsia="仿宋" w:cs="仿宋"/>
          <w:sz w:val="28"/>
          <w:szCs w:val="28"/>
        </w:rPr>
        <w:t>未考虑成新率及扣除折旧。</w:t>
      </w:r>
    </w:p>
    <w:p>
      <w:pPr>
        <w:spacing w:line="360" w:lineRule="auto"/>
        <w:ind w:firstLine="0" w:firstLineChars="0"/>
        <w:rPr>
          <w:rFonts w:hint="eastAsia" w:ascii="仿宋_GB2312" w:hAnsi="仿宋_GB2312" w:eastAsia="仿宋_GB2312" w:cs="仿宋_GB2312"/>
          <w:sz w:val="28"/>
          <w:szCs w:val="28"/>
        </w:rPr>
      </w:pPr>
    </w:p>
    <w:p>
      <w:pPr>
        <w:spacing w:line="360" w:lineRule="auto"/>
        <w:ind w:firstLine="0" w:firstLineChars="0"/>
        <w:rPr>
          <w:rFonts w:hint="eastAsia" w:ascii="仿宋_GB2312" w:hAnsi="仿宋_GB2312" w:eastAsia="仿宋_GB2312" w:cs="仿宋_GB2312"/>
          <w:sz w:val="28"/>
          <w:szCs w:val="28"/>
        </w:rPr>
      </w:pPr>
    </w:p>
    <w:p>
      <w:pPr>
        <w:spacing w:line="360" w:lineRule="auto"/>
        <w:ind w:firstLine="0" w:firstLineChars="0"/>
        <w:rPr>
          <w:rFonts w:hint="eastAsia" w:ascii="仿宋_GB2312" w:hAnsi="仿宋_GB2312" w:eastAsia="仿宋_GB2312" w:cs="仿宋_GB2312"/>
          <w:sz w:val="28"/>
          <w:szCs w:val="28"/>
        </w:rPr>
      </w:pPr>
    </w:p>
    <w:p>
      <w:pPr>
        <w:spacing w:line="360" w:lineRule="auto"/>
        <w:ind w:firstLine="0" w:firstLineChars="0"/>
        <w:rPr>
          <w:rFonts w:hint="eastAsia" w:ascii="仿宋_GB2312" w:hAnsi="仿宋_GB2312" w:eastAsia="仿宋_GB2312" w:cs="仿宋_GB2312"/>
          <w:sz w:val="28"/>
          <w:szCs w:val="28"/>
        </w:rPr>
      </w:pPr>
    </w:p>
    <w:p>
      <w:pPr>
        <w:spacing w:line="360" w:lineRule="auto"/>
        <w:ind w:firstLine="0" w:firstLineChars="0"/>
        <w:rPr>
          <w:rFonts w:hint="eastAsia" w:ascii="仿宋_GB2312" w:hAnsi="仿宋_GB2312" w:eastAsia="仿宋_GB2312" w:cs="仿宋_GB2312"/>
          <w:sz w:val="28"/>
          <w:szCs w:val="28"/>
        </w:rPr>
      </w:pPr>
    </w:p>
    <w:p>
      <w:pPr>
        <w:spacing w:line="360" w:lineRule="auto"/>
        <w:ind w:firstLine="0" w:firstLineChars="0"/>
        <w:rPr>
          <w:rFonts w:hint="eastAsia" w:ascii="仿宋_GB2312" w:hAnsi="仿宋_GB2312" w:eastAsia="仿宋_GB2312" w:cs="仿宋_GB2312"/>
          <w:sz w:val="28"/>
          <w:szCs w:val="28"/>
        </w:rPr>
      </w:pPr>
    </w:p>
    <w:p>
      <w:bookmarkStart w:id="106" w:name="_GoBack"/>
      <w:bookmarkEnd w:id="106"/>
    </w:p>
    <w:sectPr>
      <w:footerReference r:id="rId3"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35C6BF"/>
    <w:multiLevelType w:val="singleLevel"/>
    <w:tmpl w:val="9C35C6BF"/>
    <w:lvl w:ilvl="0" w:tentative="0">
      <w:start w:val="1"/>
      <w:numFmt w:val="decimal"/>
      <w:suff w:val="nothing"/>
      <w:lvlText w:val="%1、"/>
      <w:lvlJc w:val="left"/>
    </w:lvl>
  </w:abstractNum>
  <w:abstractNum w:abstractNumId="1">
    <w:nsid w:val="BE667877"/>
    <w:multiLevelType w:val="singleLevel"/>
    <w:tmpl w:val="BE667877"/>
    <w:lvl w:ilvl="0" w:tentative="0">
      <w:start w:val="4"/>
      <w:numFmt w:val="chineseCounting"/>
      <w:suff w:val="space"/>
      <w:lvlText w:val="第%1章"/>
      <w:lvlJc w:val="left"/>
      <w:rPr>
        <w:rFonts w:hint="eastAsia"/>
      </w:rPr>
    </w:lvl>
  </w:abstractNum>
  <w:abstractNum w:abstractNumId="2">
    <w:nsid w:val="59B4B236"/>
    <w:multiLevelType w:val="singleLevel"/>
    <w:tmpl w:val="59B4B236"/>
    <w:lvl w:ilvl="0" w:tentative="0">
      <w:start w:val="1"/>
      <w:numFmt w:val="decimal"/>
      <w:suff w:val="nothing"/>
      <w:lvlText w:val="%1、"/>
      <w:lvlJc w:val="left"/>
    </w:lvl>
  </w:abstractNum>
  <w:abstractNum w:abstractNumId="3">
    <w:nsid w:val="63755DE0"/>
    <w:multiLevelType w:val="multilevel"/>
    <w:tmpl w:val="63755DE0"/>
    <w:lvl w:ilvl="0" w:tentative="0">
      <w:start w:val="1"/>
      <w:numFmt w:val="koreanDigital2"/>
      <w:pStyle w:val="2"/>
      <w:lvlText w:val="第%1章"/>
      <w:lvlJc w:val="left"/>
      <w:pPr>
        <w:ind w:left="3828" w:hanging="284"/>
      </w:pPr>
      <w:rPr>
        <w:rFonts w:ascii="Times New Roman" w:hAnsi="Times New Roman" w:cs="Times New Roman"/>
        <w:b/>
        <w:bCs w:val="0"/>
        <w:i w:val="0"/>
        <w:iCs w:val="0"/>
        <w:caps w:val="0"/>
        <w:smallCaps w:val="0"/>
        <w:strike w:val="0"/>
        <w:dstrike w:val="0"/>
        <w:snapToGrid w:val="0"/>
        <w:vanish w:val="0"/>
        <w:color w:val="000000"/>
        <w:spacing w:val="0"/>
        <w:w w:val="0"/>
        <w:kern w:val="0"/>
        <w:position w:val="0"/>
        <w:sz w:val="36"/>
        <w:szCs w:val="36"/>
        <w:u w:val="none"/>
        <w:vertAlign w:val="baseline"/>
      </w:rPr>
    </w:lvl>
    <w:lvl w:ilvl="1" w:tentative="0">
      <w:start w:val="1"/>
      <w:numFmt w:val="decimal"/>
      <w:pStyle w:val="3"/>
      <w:isLgl/>
      <w:lvlText w:val="%1.%2"/>
      <w:lvlJc w:val="left"/>
      <w:pPr>
        <w:tabs>
          <w:tab w:val="left" w:pos="4800"/>
        </w:tabs>
      </w:pPr>
      <w:rPr>
        <w:rFonts w:hint="default"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30"/>
        <w:szCs w:val="30"/>
        <w:u w:val="none"/>
        <w:vertAlign w:val="baseline"/>
      </w:rPr>
    </w:lvl>
    <w:lvl w:ilvl="2" w:tentative="0">
      <w:start w:val="1"/>
      <w:numFmt w:val="decimal"/>
      <w:pStyle w:val="4"/>
      <w:isLgl/>
      <w:lvlText w:val="%1.%2.%3"/>
      <w:lvlJc w:val="left"/>
      <w:pPr>
        <w:ind w:left="2127" w:hanging="284"/>
      </w:pPr>
      <w:rPr>
        <w:rFonts w:cs="Times New Roman"/>
      </w:rPr>
    </w:lvl>
    <w:lvl w:ilvl="3" w:tentative="0">
      <w:start w:val="1"/>
      <w:numFmt w:val="decimal"/>
      <w:lvlText w:val="%1.%2.%3.%4"/>
      <w:lvlJc w:val="left"/>
      <w:pPr>
        <w:ind w:left="4800" w:hanging="284"/>
      </w:pPr>
      <w:rPr>
        <w:rFonts w:hint="eastAsia" w:cs="Times New Roman"/>
      </w:rPr>
    </w:lvl>
    <w:lvl w:ilvl="4" w:tentative="0">
      <w:start w:val="1"/>
      <w:numFmt w:val="decimal"/>
      <w:lvlText w:val="%1.%2.%3.%4.%5"/>
      <w:lvlJc w:val="left"/>
      <w:pPr>
        <w:ind w:left="4800" w:hanging="284"/>
      </w:pPr>
      <w:rPr>
        <w:rFonts w:hint="eastAsia" w:cs="Times New Roman"/>
      </w:rPr>
    </w:lvl>
    <w:lvl w:ilvl="5" w:tentative="0">
      <w:start w:val="1"/>
      <w:numFmt w:val="decimal"/>
      <w:lvlText w:val="%1.%2.%3.%4.%5.%6"/>
      <w:lvlJc w:val="left"/>
      <w:pPr>
        <w:ind w:left="4800" w:hanging="284"/>
      </w:pPr>
      <w:rPr>
        <w:rFonts w:hint="eastAsia" w:cs="Times New Roman"/>
      </w:rPr>
    </w:lvl>
    <w:lvl w:ilvl="6" w:tentative="0">
      <w:start w:val="1"/>
      <w:numFmt w:val="decimal"/>
      <w:lvlText w:val="%1.%2.%3.%4.%5.%6.%7"/>
      <w:lvlJc w:val="left"/>
      <w:pPr>
        <w:ind w:left="4800" w:hanging="284"/>
      </w:pPr>
      <w:rPr>
        <w:rFonts w:hint="eastAsia" w:cs="Times New Roman"/>
      </w:rPr>
    </w:lvl>
    <w:lvl w:ilvl="7" w:tentative="0">
      <w:start w:val="1"/>
      <w:numFmt w:val="decimal"/>
      <w:lvlText w:val="%1.%2.%3.%4.%5.%6.%7.%8"/>
      <w:lvlJc w:val="left"/>
      <w:pPr>
        <w:ind w:left="4800" w:hanging="284"/>
      </w:pPr>
      <w:rPr>
        <w:rFonts w:hint="eastAsia" w:cs="Times New Roman"/>
      </w:rPr>
    </w:lvl>
    <w:lvl w:ilvl="8" w:tentative="0">
      <w:start w:val="1"/>
      <w:numFmt w:val="decimal"/>
      <w:lvlText w:val="%1.%2.%3.%4.%5.%6.%7.%8.%9"/>
      <w:lvlJc w:val="left"/>
      <w:pPr>
        <w:ind w:left="4800" w:hanging="284"/>
      </w:pPr>
      <w:rPr>
        <w:rFonts w:hint="eastAsia"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trackRevisions w:val="1"/>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7E60E6"/>
    <w:rsid w:val="00877F4D"/>
    <w:rsid w:val="00990BA2"/>
    <w:rsid w:val="00A266E3"/>
    <w:rsid w:val="00B230C5"/>
    <w:rsid w:val="01D258D9"/>
    <w:rsid w:val="0B26412C"/>
    <w:rsid w:val="107954C6"/>
    <w:rsid w:val="119C44AD"/>
    <w:rsid w:val="1A8402F4"/>
    <w:rsid w:val="1E2654C4"/>
    <w:rsid w:val="205E000A"/>
    <w:rsid w:val="28F823D3"/>
    <w:rsid w:val="2AC7730F"/>
    <w:rsid w:val="31DA7811"/>
    <w:rsid w:val="35F146E8"/>
    <w:rsid w:val="377B26AA"/>
    <w:rsid w:val="39C63C50"/>
    <w:rsid w:val="3B3A3F7B"/>
    <w:rsid w:val="3F8B1ECA"/>
    <w:rsid w:val="43671DE0"/>
    <w:rsid w:val="45410F2D"/>
    <w:rsid w:val="46BC533F"/>
    <w:rsid w:val="47692521"/>
    <w:rsid w:val="4B8D2591"/>
    <w:rsid w:val="4E2F5569"/>
    <w:rsid w:val="500B52E1"/>
    <w:rsid w:val="526070ED"/>
    <w:rsid w:val="54367B4D"/>
    <w:rsid w:val="573667D0"/>
    <w:rsid w:val="5DBC6C80"/>
    <w:rsid w:val="5E04233E"/>
    <w:rsid w:val="5E42631B"/>
    <w:rsid w:val="649E3374"/>
    <w:rsid w:val="65B05485"/>
    <w:rsid w:val="65B73E8D"/>
    <w:rsid w:val="6A3E2322"/>
    <w:rsid w:val="6B7E60E6"/>
    <w:rsid w:val="6BEF6A2C"/>
    <w:rsid w:val="6D535020"/>
    <w:rsid w:val="6F1B1730"/>
    <w:rsid w:val="7196481F"/>
    <w:rsid w:val="73F1052D"/>
    <w:rsid w:val="76F95A63"/>
    <w:rsid w:val="78F66523"/>
    <w:rsid w:val="7A117100"/>
    <w:rsid w:val="7CD91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szCs w:val="20"/>
    </w:rPr>
  </w:style>
  <w:style w:type="paragraph" w:styleId="3">
    <w:name w:val="heading 2"/>
    <w:basedOn w:val="1"/>
    <w:next w:val="1"/>
    <w:unhideWhenUsed/>
    <w:qFormat/>
    <w:uiPriority w:val="0"/>
    <w:pPr>
      <w:keepNext/>
      <w:keepLines/>
      <w:numPr>
        <w:ilvl w:val="1"/>
        <w:numId w:val="1"/>
      </w:numPr>
      <w:tabs>
        <w:tab w:val="left" w:pos="284"/>
      </w:tabs>
      <w:spacing w:line="360" w:lineRule="auto"/>
      <w:jc w:val="left"/>
      <w:outlineLvl w:val="1"/>
    </w:pPr>
    <w:rPr>
      <w:rFonts w:ascii="Cambria" w:hAnsi="Cambria"/>
      <w:b/>
      <w:kern w:val="0"/>
      <w:sz w:val="32"/>
      <w:szCs w:val="20"/>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pPr>
      <w:tabs>
        <w:tab w:val="right" w:leader="dot" w:pos="8981"/>
      </w:tabs>
      <w:spacing w:line="480" w:lineRule="auto"/>
    </w:p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2">
    <w:name w:val="Emphasis"/>
    <w:qFormat/>
    <w:uiPriority w:val="99"/>
    <w:rPr>
      <w:rFonts w:cs="Times New Roman"/>
      <w:i/>
    </w:rPr>
  </w:style>
  <w:style w:type="character" w:styleId="13">
    <w:name w:val="Hyperlink"/>
    <w:qFormat/>
    <w:uiPriority w:val="99"/>
    <w:rPr>
      <w:rFonts w:cs="Times New Roman"/>
      <w:color w:val="0000FF"/>
      <w:u w:val="single"/>
    </w:rPr>
  </w:style>
  <w:style w:type="character" w:customStyle="1" w:styleId="14">
    <w:name w:val="批注框文本 Char"/>
    <w:basedOn w:val="11"/>
    <w:link w:val="5"/>
    <w:qFormat/>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china</Company>
  <Pages>9</Pages>
  <Words>421</Words>
  <Characters>2400</Characters>
  <Lines>20</Lines>
  <Paragraphs>5</Paragraphs>
  <TotalTime>2</TotalTime>
  <ScaleCrop>false</ScaleCrop>
  <LinksUpToDate>false</LinksUpToDate>
  <CharactersWithSpaces>2816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2019-12-03T02:13:00Z</dcterms:created>
  <dc:creator>Somnus2016</dc:creator>
  <cp:lastModifiedBy>Administrator</cp:lastModifiedBy>
  <cp:lastPrinted>2020-08-10T03:33:00Z</cp:lastPrinted>
  <dcterms:modified xsi:type="dcterms:W3CDTF">2020-10-16T07:18:00Z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