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45</w:t>
      </w:r>
      <w:r>
        <w:rPr>
          <w:rFonts w:hint="eastAsia" w:ascii="仿宋_GB2312" w:eastAsia="仿宋_GB2312"/>
          <w:sz w:val="28"/>
          <w:szCs w:val="28"/>
        </w:rPr>
        <w:t>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WExMTJkYjNhOTIwY2JmODBjMDhlYzdhMDUzMzMifQ=="/>
  </w:docVars>
  <w:rsids>
    <w:rsidRoot w:val="00000000"/>
    <w:rsid w:val="029D67C2"/>
    <w:rsid w:val="054F2588"/>
    <w:rsid w:val="16104545"/>
    <w:rsid w:val="6AAD6D27"/>
    <w:rsid w:val="70A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666</Characters>
  <Lines>0</Lines>
  <Paragraphs>0</Paragraphs>
  <TotalTime>5</TotalTime>
  <ScaleCrop>false</ScaleCrop>
  <LinksUpToDate>false</LinksUpToDate>
  <CharactersWithSpaces>666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2021-06-01T01:11:00Z</dcterms:created>
  <dc:creator>三星</dc:creator>
  <cp:lastModifiedBy>叮～当葫芦娃</cp:lastModifiedBy>
  <dcterms:modified xsi:type="dcterms:W3CDTF">2022-06-28T01:39:22Z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BD1820EB1BCE4C49A2A5B4AD8789CD61</vt:lpwstr>
  </property>
</Properties>
</file>