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4"/>
          <w:szCs w:val="44"/>
          <w:shd w:val="clear" w:color="auto" w:fill="FFFFFF"/>
          <w:lang w:val="en-US" w:eastAsia="zh-CN"/>
        </w:rPr>
      </w:pPr>
      <w:r>
        <w:rPr>
          <w:rFonts w:hint="eastAsia" w:ascii="宋体" w:hAnsi="宋体" w:eastAsia="方正小标宋简体" w:cs="Times New Roman"/>
          <w:sz w:val="44"/>
          <w:szCs w:val="44"/>
          <w:shd w:val="clear" w:color="auto" w:fill="FFFFFF"/>
          <w:lang w:val="en-US" w:eastAsia="zh-CN"/>
        </w:rPr>
        <w:t>2018年</w:t>
      </w:r>
      <w:r>
        <w:rPr>
          <w:rFonts w:hint="eastAsia" w:ascii="方正小标宋_GBK" w:hAnsi="方正小标宋_GBK" w:eastAsia="方正小标宋_GBK" w:cs="方正小标宋_GBK"/>
          <w:b w:val="0"/>
          <w:bCs w:val="0"/>
          <w:color w:val="000000"/>
          <w:kern w:val="0"/>
          <w:sz w:val="44"/>
          <w:szCs w:val="44"/>
          <w:lang w:val="en-US" w:eastAsia="zh-CN" w:bidi="ar"/>
        </w:rPr>
        <w:t>中央环境保护督察固体废物环境问题专项督察整改</w:t>
      </w:r>
      <w:r>
        <w:rPr>
          <w:rFonts w:hint="eastAsia" w:ascii="宋体" w:hAnsi="宋体" w:eastAsia="方正小标宋简体" w:cs="Times New Roman"/>
          <w:sz w:val="44"/>
          <w:szCs w:val="44"/>
          <w:shd w:val="clear" w:color="auto" w:fill="FFFFFF"/>
          <w:lang w:val="en-US" w:eastAsia="zh-CN"/>
        </w:rPr>
        <w:t>（序号十）的整改情况公示</w:t>
      </w:r>
    </w:p>
    <w:p>
      <w:pPr>
        <w:keepNext w:val="0"/>
        <w:keepLines w:val="0"/>
        <w:pageBreakBefore w:val="0"/>
        <w:kinsoku/>
        <w:overflowPunct/>
        <w:topLinePunct w:val="0"/>
        <w:bidi w:val="0"/>
        <w:snapToGrid/>
        <w:spacing w:line="240" w:lineRule="auto"/>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rPr>
      </w:pPr>
    </w:p>
    <w:p>
      <w:pPr>
        <w:keepNext w:val="0"/>
        <w:keepLines w:val="0"/>
        <w:pageBreakBefore w:val="0"/>
        <w:kinsoku/>
        <w:overflowPunct/>
        <w:topLinePunct w:val="0"/>
        <w:bidi w:val="0"/>
        <w:snapToGrid/>
        <w:spacing w:line="240" w:lineRule="auto"/>
        <w:ind w:firstLine="640"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val="en-US"/>
        </w:rPr>
        <w:t>根据广东省环境保护督察整改工作领导小组办公室《关于规范中央生态环境保护督察整改任务销号工作的通知》(粤环函〔2020〕310号)要求，现将</w:t>
      </w:r>
      <w:bookmarkStart w:id="0" w:name="_GoBack"/>
      <w:r>
        <w:rPr>
          <w:rFonts w:hint="eastAsia" w:ascii="仿宋_GB2312" w:hAnsi="仿宋_GB2312" w:eastAsia="仿宋_GB2312" w:cs="仿宋_GB2312"/>
          <w:i w:val="0"/>
          <w:caps w:val="0"/>
          <w:color w:val="auto"/>
          <w:spacing w:val="0"/>
          <w:sz w:val="32"/>
          <w:szCs w:val="32"/>
          <w:shd w:val="clear" w:color="auto" w:fill="FFFFFF"/>
          <w:lang w:val="en-US"/>
        </w:rPr>
        <w:t>“</w:t>
      </w:r>
      <w:r>
        <w:rPr>
          <w:rFonts w:hint="eastAsia" w:ascii="仿宋_GB2312" w:hAnsi="仿宋_GB2312" w:eastAsia="仿宋_GB2312" w:cs="仿宋_GB2312"/>
          <w:i w:val="0"/>
          <w:caps w:val="0"/>
          <w:color w:val="auto"/>
          <w:spacing w:val="0"/>
          <w:sz w:val="32"/>
          <w:szCs w:val="32"/>
          <w:shd w:val="clear" w:color="auto" w:fill="FFFFFF"/>
          <w:lang w:val="en-US" w:eastAsia="zh-CN"/>
        </w:rPr>
        <w:t>2018年中央环境保护督察固体废物环境问题专项督察整改（序号十）</w:t>
      </w:r>
      <w:r>
        <w:rPr>
          <w:rFonts w:hint="eastAsia" w:ascii="仿宋_GB2312" w:hAnsi="仿宋_GB2312" w:eastAsia="仿宋_GB2312" w:cs="仿宋_GB2312"/>
          <w:i w:val="0"/>
          <w:caps w:val="0"/>
          <w:color w:val="auto"/>
          <w:spacing w:val="0"/>
          <w:sz w:val="32"/>
          <w:szCs w:val="32"/>
          <w:shd w:val="clear" w:color="auto" w:fill="FFFFFF"/>
          <w:lang w:val="en-US"/>
        </w:rPr>
        <w:t>”整改情况公示</w:t>
      </w:r>
      <w:bookmarkEnd w:id="0"/>
      <w:r>
        <w:rPr>
          <w:rFonts w:hint="eastAsia" w:ascii="仿宋_GB2312" w:hAnsi="仿宋_GB2312" w:eastAsia="仿宋_GB2312" w:cs="仿宋_GB2312"/>
          <w:i w:val="0"/>
          <w:caps w:val="0"/>
          <w:color w:val="auto"/>
          <w:spacing w:val="0"/>
          <w:sz w:val="32"/>
          <w:szCs w:val="32"/>
          <w:shd w:val="clear" w:color="auto" w:fill="FFFFFF"/>
          <w:lang w:val="en-US"/>
        </w:rPr>
        <w:t>如下</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outlineLvl w:val="9"/>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24"/>
          <w:lang w:val="en-US" w:eastAsia="zh-CN" w:bidi="ar-SA"/>
        </w:rPr>
        <w:t>一、反馈问题</w:t>
      </w:r>
    </w:p>
    <w:p>
      <w:pPr>
        <w:keepNext w:val="0"/>
        <w:keepLines w:val="0"/>
        <w:pageBreakBefore w:val="0"/>
        <w:numPr>
          <w:ilvl w:val="0"/>
          <w:numId w:val="0"/>
        </w:numPr>
        <w:kinsoku/>
        <w:overflowPunct/>
        <w:topLinePunct w:val="0"/>
        <w:autoSpaceDE w:val="0"/>
        <w:autoSpaceDN w:val="0"/>
        <w:bidi w:val="0"/>
        <w:adjustRightInd w:val="0"/>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大量生活垃圾跨界倾倒。2015年以来，广东省环境保护部门查获非法跨界倾倒生活垃圾案件100多起，倾倒垃圾量数十万吨，部分还跨省倾倒至广西、湖南等地。</w:t>
      </w:r>
    </w:p>
    <w:p>
      <w:pPr>
        <w:keepNext w:val="0"/>
        <w:keepLines w:val="0"/>
        <w:pageBreakBefore w:val="0"/>
        <w:numPr>
          <w:ilvl w:val="0"/>
          <w:numId w:val="0"/>
        </w:numPr>
        <w:kinsoku/>
        <w:overflowPunct/>
        <w:topLinePunct w:val="0"/>
        <w:autoSpaceDE w:val="0"/>
        <w:autoSpaceDN w:val="0"/>
        <w:bidi w:val="0"/>
        <w:adjustRightInd w:val="0"/>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严厉打击生活垃圾非法转移倾倒行为。2019年年底前，对已经发现的跨省非法转移倾倒案件，依法查处涉案企业和人员。住房城乡建设部门加强和规范生活垃圾收集、运输和处置全过程监管，防止生活垃圾外运偷排；生态环境部门加强生活垃圾处置设施的环境监管，加大环境监督执法力度；交通、海事部门协助加强对生活垃圾跨界运输的监管；海洋执法部门加强海洋倾倒废弃物监管；公安部门根据各职能部门移交的线索加大案件侦办力度，严厉打击非法转移倾倒生活垃圾的违法犯罪行为。</w:t>
      </w:r>
    </w:p>
    <w:p>
      <w:pPr>
        <w:keepNext w:val="0"/>
        <w:keepLines w:val="0"/>
        <w:pageBreakBefore w:val="0"/>
        <w:numPr>
          <w:ilvl w:val="0"/>
          <w:numId w:val="0"/>
        </w:numPr>
        <w:kinsoku/>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（三）加快生活垃圾处置设施建设。各地根据本辖区人口、经济等发展情况，做好生活垃圾处置设施的规划，加快生活垃圾处置设施的建设。</w:t>
      </w:r>
    </w:p>
    <w:p>
      <w:pPr>
        <w:keepNext w:val="0"/>
        <w:keepLines w:val="0"/>
        <w:pageBreakBefore w:val="0"/>
        <w:numPr>
          <w:ilvl w:val="0"/>
          <w:numId w:val="0"/>
        </w:numPr>
        <w:kinsoku/>
        <w:overflowPunct/>
        <w:topLinePunct w:val="0"/>
        <w:autoSpaceDE w:val="0"/>
        <w:autoSpaceDN w:val="0"/>
        <w:bidi w:val="0"/>
        <w:adjustRightInd w:val="0"/>
        <w:snapToGrid/>
        <w:spacing w:line="240" w:lineRule="auto"/>
        <w:ind w:firstLine="640" w:firstLineChars="200"/>
        <w:textAlignment w:val="auto"/>
        <w:rPr>
          <w:rFonts w:hint="eastAsia" w:ascii="黑体" w:hAnsi="黑体" w:eastAsia="黑体" w:cs="黑体"/>
          <w:sz w:val="32"/>
        </w:rPr>
      </w:pPr>
      <w:r>
        <w:rPr>
          <w:rFonts w:hint="eastAsia" w:ascii="黑体" w:hAnsi="黑体" w:eastAsia="黑体" w:cs="黑体"/>
          <w:sz w:val="32"/>
          <w:lang w:eastAsia="zh-CN"/>
        </w:rPr>
        <w:t>二、</w:t>
      </w:r>
      <w:r>
        <w:rPr>
          <w:rFonts w:hint="eastAsia" w:ascii="黑体" w:hAnsi="黑体" w:eastAsia="黑体" w:cs="黑体"/>
          <w:sz w:val="32"/>
        </w:rPr>
        <w:t>整改目标</w:t>
      </w:r>
    </w:p>
    <w:p>
      <w:pPr>
        <w:pStyle w:val="7"/>
        <w:keepNext w:val="0"/>
        <w:keepLines w:val="0"/>
        <w:pageBreakBefore w:val="0"/>
        <w:widowControl w:val="0"/>
        <w:numPr>
          <w:ilvl w:val="0"/>
          <w:numId w:val="0"/>
        </w:numPr>
        <w:kinsoku/>
        <w:wordWrap/>
        <w:overflowPunct/>
        <w:topLinePunct w:val="0"/>
        <w:autoSpaceDE/>
        <w:bidi w:val="0"/>
        <w:adjustRightInd/>
        <w:snapToGrid/>
        <w:spacing w:line="240" w:lineRule="auto"/>
        <w:ind w:right="0" w:rightChars="0" w:firstLine="64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加大财政投入，对全县各镇农村地区生活垃圾收集点、分类收集筒的足额配置，完成行政村集中点和乡镇转运站升级改造，完善农村生活垃圾处理设施系统建设机制。</w:t>
      </w:r>
    </w:p>
    <w:p>
      <w:pPr>
        <w:keepNext w:val="0"/>
        <w:keepLines w:val="0"/>
        <w:pageBreakBefore w:val="0"/>
        <w:numPr>
          <w:ilvl w:val="0"/>
          <w:numId w:val="0"/>
        </w:numPr>
        <w:kinsoku/>
        <w:overflowPunct/>
        <w:topLinePunct w:val="0"/>
        <w:autoSpaceDE w:val="0"/>
        <w:autoSpaceDN w:val="0"/>
        <w:bidi w:val="0"/>
        <w:adjustRightInd w:val="0"/>
        <w:snapToGrid/>
        <w:spacing w:line="240" w:lineRule="auto"/>
        <w:ind w:firstLine="640"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三、</w:t>
      </w:r>
      <w:r>
        <w:rPr>
          <w:rFonts w:hint="eastAsia" w:ascii="黑体" w:hAnsi="黑体" w:eastAsia="黑体" w:cs="黑体"/>
          <w:sz w:val="32"/>
        </w:rPr>
        <w:t>整改</w:t>
      </w:r>
      <w:r>
        <w:rPr>
          <w:rFonts w:hint="eastAsia" w:ascii="黑体" w:hAnsi="黑体" w:eastAsia="黑体" w:cs="黑体"/>
          <w:sz w:val="32"/>
          <w:lang w:eastAsia="zh-CN"/>
        </w:rPr>
        <w:t>措施</w:t>
      </w:r>
    </w:p>
    <w:p>
      <w:pPr>
        <w:pStyle w:val="7"/>
        <w:keepNext w:val="0"/>
        <w:keepLines w:val="0"/>
        <w:pageBreakBefore w:val="0"/>
        <w:widowControl w:val="0"/>
        <w:numPr>
          <w:numId w:val="0"/>
        </w:numPr>
        <w:kinsoku/>
        <w:wordWrap/>
        <w:overflowPunct/>
        <w:topLinePunct w:val="0"/>
        <w:autoSpaceDE/>
        <w:bidi w:val="0"/>
        <w:adjustRightInd/>
        <w:snapToGrid/>
        <w:spacing w:line="240" w:lineRule="auto"/>
        <w:ind w:right="0" w:rightChars="0"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一是加强对全县农村地区生活垃圾的监督管理，加强政策法规宣传，严防各种生活垃圾进行跨界倾倒；二是不断创新生活垃圾收集运输管理模式，确保更加有力、有效推动我县城乡环卫工作走上新水平。</w:t>
      </w:r>
    </w:p>
    <w:p>
      <w:pPr>
        <w:keepNext w:val="0"/>
        <w:keepLines w:val="0"/>
        <w:pageBreakBefore w:val="0"/>
        <w:numPr>
          <w:ilvl w:val="0"/>
          <w:numId w:val="0"/>
        </w:numPr>
        <w:kinsoku/>
        <w:overflowPunct/>
        <w:topLinePunct w:val="0"/>
        <w:bidi w:val="0"/>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sz w:val="32"/>
          <w:szCs w:val="32"/>
        </w:rPr>
        <w:t>整改措施落实情况</w:t>
      </w:r>
    </w:p>
    <w:p>
      <w:pPr>
        <w:keepNext w:val="0"/>
        <w:keepLines w:val="0"/>
        <w:pageBreakBefore w:val="0"/>
        <w:kinsoku/>
        <w:overflowPunct/>
        <w:topLinePunct w:val="0"/>
        <w:bidi w:val="0"/>
        <w:snapToGrid/>
        <w:spacing w:line="240" w:lineRule="auto"/>
        <w:ind w:firstLine="645"/>
        <w:textAlignment w:val="auto"/>
        <w:rPr>
          <w:rFonts w:hint="eastAsia" w:ascii="仿宋" w:hAnsi="仿宋" w:eastAsia="仿宋" w:cs="宋体"/>
          <w:color w:val="000000"/>
          <w:kern w:val="0"/>
          <w:sz w:val="32"/>
          <w:szCs w:val="32"/>
        </w:rPr>
      </w:pPr>
      <w:r>
        <w:rPr>
          <w:rFonts w:hint="eastAsia" w:ascii="楷体_GB2312" w:hAnsi="楷体_GB2312" w:eastAsia="楷体_GB2312" w:cs="楷体_GB2312"/>
          <w:sz w:val="32"/>
          <w:szCs w:val="32"/>
          <w:lang w:val="en-US" w:eastAsia="zh-CN"/>
        </w:rPr>
        <w:t>（一）整改目标完成情况：</w:t>
      </w:r>
      <w:r>
        <w:rPr>
          <w:rFonts w:hint="eastAsia" w:ascii="仿宋_GB2312" w:hAnsi="仿宋_GB2312" w:eastAsia="仿宋_GB2312" w:cs="仿宋_GB2312"/>
          <w:sz w:val="32"/>
          <w:szCs w:val="32"/>
          <w:lang w:val="en-US" w:eastAsia="zh-CN"/>
        </w:rPr>
        <w:t>已完成。</w:t>
      </w:r>
    </w:p>
    <w:p>
      <w:pPr>
        <w:keepNext w:val="0"/>
        <w:keepLines w:val="0"/>
        <w:pageBreakBefore w:val="0"/>
        <w:kinsoku/>
        <w:overflowPunct/>
        <w:topLinePunct w:val="0"/>
        <w:bidi w:val="0"/>
        <w:snapToGrid/>
        <w:spacing w:line="240" w:lineRule="auto"/>
        <w:ind w:firstLine="645"/>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（二）整改措施落实情况：</w:t>
      </w:r>
    </w:p>
    <w:p>
      <w:pPr>
        <w:pStyle w:val="7"/>
        <w:keepNext w:val="0"/>
        <w:keepLines w:val="0"/>
        <w:pageBreakBefore w:val="0"/>
        <w:widowControl w:val="0"/>
        <w:numPr>
          <w:ilvl w:val="0"/>
          <w:numId w:val="0"/>
        </w:numPr>
        <w:kinsoku/>
        <w:wordWrap/>
        <w:overflowPunct/>
        <w:topLinePunct w:val="0"/>
        <w:autoSpaceDE/>
        <w:bidi w:val="0"/>
        <w:adjustRightInd/>
        <w:snapToGrid/>
        <w:spacing w:line="240" w:lineRule="auto"/>
        <w:ind w:right="0" w:rightChars="0" w:firstLine="640" w:firstLineChars="200"/>
        <w:textAlignment w:val="auto"/>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（一）</w:t>
      </w:r>
      <w:r>
        <w:rPr>
          <w:rFonts w:hint="eastAsia" w:ascii="仿宋" w:hAnsi="仿宋" w:eastAsia="仿宋" w:cs="仿宋"/>
          <w:sz w:val="32"/>
          <w:szCs w:val="32"/>
        </w:rPr>
        <w:t>我县制定《龙川县人民政府办公室关于印发龙川县建立健全农村生活垃圾治理长效机制全面提高城乡清洁水平实施方案的通知》（龙府办〔</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118</w:t>
      </w:r>
      <w:r>
        <w:rPr>
          <w:rFonts w:hint="eastAsia" w:ascii="仿宋" w:hAnsi="仿宋" w:eastAsia="仿宋" w:cs="仿宋"/>
          <w:sz w:val="32"/>
          <w:szCs w:val="32"/>
        </w:rPr>
        <w:t>号）</w:t>
      </w:r>
      <w:r>
        <w:rPr>
          <w:rFonts w:hint="eastAsia" w:ascii="仿宋_GB2312" w:hAnsi="仿宋_GB2312" w:eastAsia="仿宋_GB2312"/>
          <w:sz w:val="32"/>
          <w:lang w:val="en-US" w:eastAsia="zh-CN"/>
        </w:rPr>
        <w:t>和《龙川县农村人居环境综合整治实施方案的通知》（龙委办发【2017】1号）文件，全面指导我县开展生活垃圾、生活污水等治理工作，农村生活垃圾治理工作进入常态化监管，有效提升农村人居环境综合整治水平；</w:t>
      </w:r>
    </w:p>
    <w:p>
      <w:pPr>
        <w:pStyle w:val="7"/>
        <w:keepNext w:val="0"/>
        <w:keepLines w:val="0"/>
        <w:pageBreakBefore w:val="0"/>
        <w:widowControl w:val="0"/>
        <w:numPr>
          <w:ilvl w:val="0"/>
          <w:numId w:val="0"/>
        </w:numPr>
        <w:kinsoku/>
        <w:wordWrap/>
        <w:overflowPunct/>
        <w:topLinePunct w:val="0"/>
        <w:autoSpaceDE/>
        <w:bidi w:val="0"/>
        <w:adjustRightInd/>
        <w:snapToGrid/>
        <w:spacing w:line="240" w:lineRule="auto"/>
        <w:ind w:right="0" w:rightChars="0"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sz w:val="32"/>
          <w:lang w:val="en-US" w:eastAsia="zh-CN"/>
        </w:rPr>
        <w:t>（二）</w:t>
      </w:r>
      <w:r>
        <w:rPr>
          <w:rFonts w:hint="eastAsia" w:ascii="仿宋" w:hAnsi="仿宋" w:eastAsia="仿宋" w:cs="仿宋"/>
          <w:sz w:val="32"/>
          <w:szCs w:val="32"/>
        </w:rPr>
        <w:t>完善农村生活垃圾处理设施系统建设机制。</w:t>
      </w:r>
      <w:r>
        <w:rPr>
          <w:rFonts w:hint="eastAsia" w:ascii="仿宋" w:hAnsi="仿宋" w:eastAsia="仿宋" w:cs="仿宋"/>
          <w:b w:val="0"/>
          <w:bCs w:val="0"/>
          <w:sz w:val="32"/>
          <w:szCs w:val="32"/>
          <w:lang w:eastAsia="zh-CN"/>
        </w:rPr>
        <w:t>据不完全统计，</w:t>
      </w:r>
      <w:r>
        <w:rPr>
          <w:rFonts w:hint="eastAsia" w:ascii="仿宋" w:hAnsi="仿宋" w:eastAsia="仿宋" w:cs="仿宋"/>
          <w:b w:val="0"/>
          <w:bCs w:val="0"/>
          <w:sz w:val="32"/>
          <w:szCs w:val="32"/>
          <w:lang w:val="en-US" w:eastAsia="zh-CN"/>
        </w:rPr>
        <w:t>目前</w:t>
      </w:r>
      <w:r>
        <w:rPr>
          <w:rFonts w:hint="eastAsia" w:ascii="仿宋" w:hAnsi="仿宋" w:eastAsia="仿宋" w:cs="仿宋"/>
          <w:sz w:val="32"/>
          <w:szCs w:val="32"/>
        </w:rPr>
        <w:t>全县</w:t>
      </w:r>
      <w:r>
        <w:rPr>
          <w:rFonts w:hint="eastAsia" w:ascii="仿宋" w:hAnsi="仿宋" w:eastAsia="仿宋" w:cs="仿宋"/>
          <w:sz w:val="32"/>
          <w:szCs w:val="32"/>
          <w:lang w:val="en-US" w:eastAsia="zh-CN"/>
        </w:rPr>
        <w:t>315个行政</w:t>
      </w:r>
      <w:r>
        <w:rPr>
          <w:rFonts w:hint="eastAsia" w:ascii="仿宋" w:hAnsi="仿宋" w:eastAsia="仿宋" w:cs="仿宋"/>
          <w:sz w:val="32"/>
          <w:szCs w:val="32"/>
        </w:rPr>
        <w:t>村</w:t>
      </w:r>
      <w:r>
        <w:rPr>
          <w:rFonts w:hint="eastAsia" w:ascii="仿宋" w:hAnsi="仿宋" w:eastAsia="仿宋" w:cs="仿宋"/>
          <w:sz w:val="32"/>
          <w:szCs w:val="32"/>
          <w:lang w:val="en-US" w:eastAsia="zh-CN"/>
        </w:rPr>
        <w:t>共投放了垃圾</w:t>
      </w:r>
      <w:r>
        <w:rPr>
          <w:rFonts w:hint="eastAsia" w:ascii="仿宋" w:hAnsi="仿宋" w:eastAsia="仿宋" w:cs="仿宋"/>
          <w:sz w:val="32"/>
          <w:szCs w:val="32"/>
        </w:rPr>
        <w:t>收集点（垃圾桶或</w:t>
      </w:r>
      <w:r>
        <w:rPr>
          <w:rFonts w:hint="eastAsia" w:ascii="仿宋" w:hAnsi="仿宋" w:eastAsia="仿宋" w:cs="仿宋"/>
          <w:color w:val="000000"/>
          <w:sz w:val="32"/>
          <w:szCs w:val="32"/>
        </w:rPr>
        <w:t>垃圾</w:t>
      </w:r>
      <w:r>
        <w:rPr>
          <w:rFonts w:hint="eastAsia" w:ascii="仿宋" w:hAnsi="仿宋" w:eastAsia="仿宋" w:cs="仿宋"/>
          <w:color w:val="000000"/>
          <w:sz w:val="32"/>
          <w:szCs w:val="32"/>
          <w:lang w:val="en-US" w:eastAsia="zh-CN"/>
        </w:rPr>
        <w:t>分类</w:t>
      </w:r>
      <w:r>
        <w:rPr>
          <w:rFonts w:hint="eastAsia" w:ascii="仿宋" w:hAnsi="仿宋" w:eastAsia="仿宋" w:cs="仿宋"/>
          <w:color w:val="000000"/>
          <w:sz w:val="32"/>
          <w:szCs w:val="32"/>
        </w:rPr>
        <w:t>屋）</w:t>
      </w:r>
      <w:r>
        <w:rPr>
          <w:rFonts w:hint="eastAsia" w:ascii="仿宋" w:hAnsi="仿宋" w:eastAsia="仿宋" w:cs="仿宋"/>
          <w:sz w:val="32"/>
          <w:szCs w:val="32"/>
          <w:lang w:eastAsia="zh-CN"/>
        </w:rPr>
        <w:t>约</w:t>
      </w:r>
      <w:r>
        <w:rPr>
          <w:rFonts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ascii="仿宋" w:hAnsi="仿宋" w:eastAsia="仿宋" w:cs="仿宋"/>
          <w:color w:val="000000"/>
          <w:sz w:val="32"/>
          <w:szCs w:val="32"/>
        </w:rPr>
        <w:t>1</w:t>
      </w:r>
      <w:r>
        <w:rPr>
          <w:rFonts w:hint="eastAsia" w:ascii="仿宋" w:hAnsi="仿宋" w:eastAsia="仿宋" w:cs="仿宋"/>
          <w:color w:val="000000"/>
          <w:sz w:val="32"/>
          <w:szCs w:val="32"/>
          <w:lang w:eastAsia="zh-CN"/>
        </w:rPr>
        <w:t>万</w:t>
      </w:r>
      <w:r>
        <w:rPr>
          <w:rFonts w:hint="eastAsia" w:ascii="仿宋" w:hAnsi="仿宋" w:eastAsia="仿宋" w:cs="仿宋"/>
          <w:color w:val="000000"/>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2021年以来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县政府力推龙川县城乡环卫一体化PPP项目，覆盖龙川县城</w:t>
      </w:r>
      <w:r>
        <w:rPr>
          <w:rFonts w:hint="default" w:ascii="仿宋" w:hAnsi="仿宋" w:eastAsia="仿宋" w:cs="仿宋"/>
          <w:sz w:val="32"/>
          <w:szCs w:val="32"/>
          <w:lang w:val="en-US" w:eastAsia="zh-CN"/>
        </w:rPr>
        <w:t>乡垃圾前端收集及清运</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垃圾收集点等运营及维护</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以及市政设施的清扫、保洁服务</w:t>
      </w:r>
      <w:r>
        <w:rPr>
          <w:rFonts w:hint="eastAsia" w:ascii="仿宋" w:hAnsi="仿宋" w:eastAsia="仿宋" w:cs="仿宋"/>
          <w:sz w:val="32"/>
          <w:szCs w:val="32"/>
          <w:lang w:val="en-US" w:eastAsia="zh-CN"/>
        </w:rPr>
        <w:t>等等。同时，拟计划对</w:t>
      </w:r>
      <w:r>
        <w:rPr>
          <w:rFonts w:hint="eastAsia" w:ascii="仿宋" w:hAnsi="仿宋" w:eastAsia="仿宋" w:cs="仿宋"/>
          <w:sz w:val="32"/>
          <w:szCs w:val="32"/>
          <w:lang w:eastAsia="zh-CN"/>
        </w:rPr>
        <w:t>我县</w:t>
      </w:r>
      <w:r>
        <w:rPr>
          <w:rFonts w:hint="eastAsia" w:ascii="仿宋" w:hAnsi="仿宋" w:eastAsia="仿宋" w:cs="仿宋"/>
          <w:sz w:val="32"/>
          <w:szCs w:val="32"/>
        </w:rPr>
        <w:t>对</w:t>
      </w:r>
      <w:r>
        <w:rPr>
          <w:rFonts w:hint="eastAsia" w:ascii="仿宋" w:hAnsi="仿宋" w:eastAsia="仿宋" w:cs="仿宋"/>
          <w:sz w:val="32"/>
          <w:szCs w:val="32"/>
          <w:lang w:val="en-US" w:eastAsia="zh-CN"/>
        </w:rPr>
        <w:t>8</w:t>
      </w:r>
      <w:r>
        <w:rPr>
          <w:rFonts w:hint="eastAsia" w:ascii="仿宋" w:hAnsi="仿宋" w:eastAsia="仿宋" w:cs="仿宋"/>
          <w:sz w:val="32"/>
          <w:szCs w:val="32"/>
        </w:rPr>
        <w:t>个镇</w:t>
      </w:r>
      <w:r>
        <w:rPr>
          <w:rFonts w:hint="eastAsia" w:ascii="仿宋" w:hAnsi="仿宋" w:eastAsia="仿宋" w:cs="仿宋"/>
          <w:sz w:val="32"/>
          <w:szCs w:val="32"/>
          <w:lang w:eastAsia="zh-CN"/>
        </w:rPr>
        <w:t>的</w:t>
      </w:r>
      <w:r>
        <w:rPr>
          <w:rFonts w:hint="eastAsia" w:ascii="仿宋" w:hAnsi="仿宋" w:eastAsia="仿宋" w:cs="仿宋"/>
          <w:sz w:val="32"/>
          <w:szCs w:val="32"/>
        </w:rPr>
        <w:t>垃圾转运站进行升级改造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新建和改建一批垃圾分类屋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2022年，我县在高铁龙川西站（佗城）新建一座</w:t>
      </w:r>
      <w:r>
        <w:rPr>
          <w:rFonts w:hint="eastAsia" w:ascii="仿宋" w:hAnsi="仿宋" w:eastAsia="仿宋" w:cs="仿宋"/>
          <w:sz w:val="32"/>
          <w:szCs w:val="32"/>
          <w:lang w:eastAsia="zh-CN"/>
        </w:rPr>
        <w:t>规模较大、工艺先进、专人管理的具有标杆和示范作用的镇级转运站，全力服务于</w:t>
      </w:r>
      <w:r>
        <w:rPr>
          <w:rFonts w:hint="eastAsia" w:ascii="仿宋" w:hAnsi="仿宋" w:eastAsia="仿宋" w:cs="仿宋"/>
          <w:sz w:val="32"/>
          <w:szCs w:val="32"/>
          <w:lang w:val="en-US" w:eastAsia="zh-CN"/>
        </w:rPr>
        <w:t>高铁西站及佗城镇周边生活垃圾转运，提高了农村各地生活垃圾收运处置效率，为我县农村生活垃圾治理工作奠定了良好的硬件基础。</w:t>
      </w:r>
    </w:p>
    <w:p>
      <w:pPr>
        <w:pStyle w:val="8"/>
        <w:keepNext w:val="0"/>
        <w:keepLines w:val="0"/>
        <w:pageBreakBefore w:val="0"/>
        <w:numPr>
          <w:ilvl w:val="0"/>
          <w:numId w:val="0"/>
        </w:numPr>
        <w:kinsoku/>
        <w:overflowPunct/>
        <w:topLinePunct w:val="0"/>
        <w:bidi w:val="0"/>
        <w:snapToGrid/>
        <w:spacing w:beforeLines="0" w:afterLines="0" w:line="240" w:lineRule="auto"/>
        <w:ind w:left="0" w:lef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三、评估结论</w:t>
      </w:r>
    </w:p>
    <w:p>
      <w:pPr>
        <w:pStyle w:val="8"/>
        <w:keepNext w:val="0"/>
        <w:keepLines w:val="0"/>
        <w:pageBreakBefore w:val="0"/>
        <w:numPr>
          <w:ilvl w:val="0"/>
          <w:numId w:val="0"/>
        </w:numPr>
        <w:kinsoku/>
        <w:overflowPunct/>
        <w:topLinePunct w:val="0"/>
        <w:bidi w:val="0"/>
        <w:snapToGrid/>
        <w:spacing w:beforeLines="0" w:afterLines="0" w:line="240" w:lineRule="auto"/>
        <w:ind w:left="0" w:leftChars="0" w:firstLine="640" w:firstLineChars="200"/>
        <w:textAlignment w:val="auto"/>
        <w:outlineLvl w:val="9"/>
        <w:rPr>
          <w:rFonts w:hint="eastAsia"/>
          <w:lang w:eastAsia="zh-CN"/>
        </w:rPr>
      </w:pPr>
      <w:r>
        <w:rPr>
          <w:rFonts w:hint="eastAsia" w:ascii="宋体" w:hAnsi="宋体" w:eastAsia="仿宋_GB2312"/>
          <w:sz w:val="32"/>
          <w:lang w:val="en-US" w:eastAsia="zh-CN"/>
        </w:rPr>
        <w:t>龙川县已完成整改目标，具体整改措施已落实到位，符合销号要求</w:t>
      </w:r>
      <w:r>
        <w:rPr>
          <w:rFonts w:hint="eastAsia" w:ascii="仿宋_GB2312" w:hAnsi="仿宋_GB2312" w:eastAsia="仿宋_GB2312" w:cs="仿宋_GB2312"/>
          <w:color w:val="auto"/>
          <w:sz w:val="32"/>
          <w:szCs w:val="32"/>
          <w:highlight w:val="none"/>
          <w:lang w:eastAsia="zh-CN"/>
        </w:rPr>
        <w:t>。</w:t>
      </w:r>
    </w:p>
    <w:p>
      <w:pPr>
        <w:pStyle w:val="8"/>
        <w:keepNext w:val="0"/>
        <w:keepLines w:val="0"/>
        <w:pageBreakBefore w:val="0"/>
        <w:kinsoku/>
        <w:overflowPunct/>
        <w:topLinePunct w:val="0"/>
        <w:bidi w:val="0"/>
        <w:snapToGrid/>
        <w:spacing w:line="240" w:lineRule="auto"/>
        <w:ind w:left="0" w:leftChars="0" w:firstLine="0" w:firstLineChars="0"/>
        <w:textAlignment w:val="auto"/>
        <w:rPr>
          <w:rFonts w:hint="eastAsia"/>
          <w:lang w:eastAsia="zh-CN"/>
        </w:rPr>
      </w:pPr>
    </w:p>
    <w:p>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以上整改情况向社会公示，如有异议，请以书面或电话形式，向龙川县住房和城乡建设局反馈。邮寄的以邮戳为准，直接送达的以送达日期为准。</w:t>
      </w:r>
    </w:p>
    <w:p>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line="240" w:lineRule="auto"/>
        <w:ind w:leftChars="200" w:right="0" w:rightChars="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公示时间：2022年7月15日至2022年7月21日，共个5工作日。</w:t>
      </w:r>
    </w:p>
    <w:p>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line="240" w:lineRule="auto"/>
        <w:ind w:leftChars="200" w:right="0" w:rightChars="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受理部门：龙川县住房和城乡建设局</w:t>
      </w:r>
    </w:p>
    <w:p>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line="240" w:lineRule="auto"/>
        <w:ind w:leftChars="200" w:right="0" w:rightChars="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联 系 人：曾建华，联系电话：0762—6299899 </w:t>
      </w:r>
    </w:p>
    <w:p>
      <w:pPr>
        <w:keepNext w:val="0"/>
        <w:keepLines w:val="0"/>
        <w:pageBreakBefore w:val="0"/>
        <w:widowControl w:val="0"/>
        <w:numPr>
          <w:ilvl w:val="0"/>
          <w:numId w:val="0"/>
        </w:numPr>
        <w:suppressLineNumbers w:val="0"/>
        <w:kinsoku/>
        <w:wordWrap/>
        <w:overflowPunct/>
        <w:topLinePunct w:val="0"/>
        <w:autoSpaceDE/>
        <w:autoSpaceDN w:val="0"/>
        <w:bidi w:val="0"/>
        <w:adjustRightInd/>
        <w:snapToGrid/>
        <w:spacing w:line="240" w:lineRule="auto"/>
        <w:ind w:leftChars="200" w:right="0" w:rightChars="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联系地址：龙川县老隆镇新城开发区6号小区</w:t>
      </w:r>
    </w:p>
    <w:p>
      <w:pPr>
        <w:keepNext w:val="0"/>
        <w:keepLines w:val="0"/>
        <w:pageBreakBefore w:val="0"/>
        <w:widowControl w:val="0"/>
        <w:numPr>
          <w:ilvl w:val="0"/>
          <w:numId w:val="0"/>
        </w:numPr>
        <w:suppressLineNumbers w:val="0"/>
        <w:kinsoku/>
        <w:overflowPunct/>
        <w:topLinePunct w:val="0"/>
        <w:autoSpaceDE/>
        <w:autoSpaceDN w:val="0"/>
        <w:bidi w:val="0"/>
        <w:snapToGrid/>
        <w:spacing w:line="240" w:lineRule="auto"/>
        <w:ind w:right="0" w:rightChars="0"/>
        <w:jc w:val="both"/>
        <w:textAlignment w:val="auto"/>
        <w:rPr>
          <w:rFonts w:hint="eastAsia" w:ascii="仿宋_GB2312" w:hAnsi="仿宋_GB2312" w:eastAsia="仿宋_GB2312" w:cs="仿宋_GB2312"/>
          <w:i w:val="0"/>
          <w:color w:val="000000"/>
          <w:kern w:val="0"/>
          <w:sz w:val="32"/>
          <w:szCs w:val="32"/>
          <w:u w:val="none"/>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numPr>
          <w:ilvl w:val="0"/>
          <w:numId w:val="0"/>
        </w:numPr>
        <w:suppressLineNumbers w:val="0"/>
        <w:kinsoku/>
        <w:overflowPunct/>
        <w:topLinePunct w:val="0"/>
        <w:autoSpaceDE/>
        <w:autoSpaceDN w:val="0"/>
        <w:bidi w:val="0"/>
        <w:snapToGrid/>
        <w:spacing w:line="240" w:lineRule="auto"/>
        <w:ind w:leftChars="200" w:right="0" w:rightChars="0" w:firstLine="2560" w:firstLineChars="8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龙川县生态环境保护督察整改</w:t>
      </w:r>
    </w:p>
    <w:p>
      <w:pPr>
        <w:keepNext w:val="0"/>
        <w:keepLines w:val="0"/>
        <w:pageBreakBefore w:val="0"/>
        <w:widowControl w:val="0"/>
        <w:numPr>
          <w:ilvl w:val="0"/>
          <w:numId w:val="0"/>
        </w:numPr>
        <w:suppressLineNumbers w:val="0"/>
        <w:kinsoku/>
        <w:overflowPunct/>
        <w:topLinePunct w:val="0"/>
        <w:autoSpaceDE/>
        <w:autoSpaceDN w:val="0"/>
        <w:bidi w:val="0"/>
        <w:snapToGrid/>
        <w:spacing w:line="240" w:lineRule="auto"/>
        <w:ind w:leftChars="200" w:right="0" w:rightChars="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i w:val="0"/>
          <w:color w:val="000000"/>
          <w:kern w:val="0"/>
          <w:sz w:val="32"/>
          <w:szCs w:val="32"/>
          <w:u w:val="none"/>
          <w:lang w:val="en-US" w:eastAsia="zh-CN" w:bidi="ar"/>
        </w:rPr>
        <w:t xml:space="preserve">                    工作领导小组办公室</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kinsoku/>
        <w:overflowPunct/>
        <w:topLinePunct w:val="0"/>
        <w:bidi w:val="0"/>
        <w:snapToGrid/>
        <w:spacing w:line="240" w:lineRule="auto"/>
        <w:jc w:val="center"/>
        <w:textAlignment w:val="auto"/>
      </w:pPr>
      <w:r>
        <w:rPr>
          <w:rFonts w:hint="eastAsia" w:ascii="仿宋_GB2312" w:hAnsi="仿宋_GB2312" w:eastAsia="仿宋_GB2312" w:cs="仿宋_GB2312"/>
          <w:i w:val="0"/>
          <w:color w:val="000000"/>
          <w:kern w:val="0"/>
          <w:sz w:val="32"/>
          <w:szCs w:val="32"/>
          <w:u w:val="none"/>
          <w:lang w:val="en-US" w:eastAsia="zh-CN" w:bidi="ar"/>
        </w:rPr>
        <w:t xml:space="preserve">           2022年7月15日</w:t>
      </w:r>
    </w:p>
    <w:p>
      <w:pPr>
        <w:keepNext w:val="0"/>
        <w:keepLines w:val="0"/>
        <w:pageBreakBefore w:val="0"/>
        <w:kinsoku/>
        <w:overflowPunct/>
        <w:topLinePunct w:val="0"/>
        <w:bidi w:val="0"/>
        <w:snapToGrid/>
        <w:spacing w:line="240" w:lineRule="auto"/>
        <w:textAlignment w:val="auto"/>
      </w:pPr>
    </w:p>
    <w:p>
      <w:pPr>
        <w:keepNext w:val="0"/>
        <w:keepLines w:val="0"/>
        <w:pageBreakBefore w:val="0"/>
        <w:kinsoku/>
        <w:overflowPunct/>
        <w:topLinePunct w:val="0"/>
        <w:bidi w:val="0"/>
        <w:snapToGrid/>
        <w:spacing w:line="240" w:lineRule="auto"/>
        <w:textAlignment w:val="auto"/>
      </w:pPr>
    </w:p>
    <w:p>
      <w:pPr>
        <w:keepNext w:val="0"/>
        <w:keepLines w:val="0"/>
        <w:pageBreakBefore w:val="0"/>
        <w:kinsoku/>
        <w:overflowPunct/>
        <w:topLinePunct w:val="0"/>
        <w:bidi w:val="0"/>
        <w:snapToGrid/>
        <w:spacing w:line="240" w:lineRule="auto"/>
        <w:textAlignment w:val="auto"/>
      </w:pPr>
    </w:p>
    <w:p>
      <w:pPr>
        <w:keepNext w:val="0"/>
        <w:keepLines w:val="0"/>
        <w:pageBreakBefore w:val="0"/>
        <w:kinsoku/>
        <w:overflowPunct/>
        <w:topLinePunct w:val="0"/>
        <w:bidi w:val="0"/>
        <w:snapToGrid/>
        <w:spacing w:line="240" w:lineRule="auto"/>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NTVlMjUzYWIzMDc5NmJhZWIwYWMzOTlmMTg5YmIifQ=="/>
  </w:docVars>
  <w:rsids>
    <w:rsidRoot w:val="7F1E49A3"/>
    <w:rsid w:val="7F1E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beforeLines="0" w:afterLines="0"/>
    </w:pPr>
    <w:rPr>
      <w:rFonts w:hint="default"/>
      <w:sz w:val="21"/>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Normal Indent1"/>
    <w:basedOn w:val="1"/>
    <w:qFormat/>
    <w:uiPriority w:val="0"/>
    <w:pPr>
      <w:ind w:firstLine="420" w:firstLineChars="200"/>
    </w:pPr>
    <w:rPr>
      <w:szCs w:val="24"/>
    </w:rPr>
  </w:style>
  <w:style w:type="paragraph" w:customStyle="1" w:styleId="7">
    <w:name w:val="Normal Indent"/>
    <w:basedOn w:val="1"/>
    <w:qFormat/>
    <w:uiPriority w:val="0"/>
    <w:pPr>
      <w:ind w:firstLine="420" w:firstLineChars="200"/>
    </w:pPr>
    <w:rPr>
      <w:szCs w:val="24"/>
    </w:rPr>
  </w:style>
  <w:style w:type="paragraph" w:customStyle="1" w:styleId="8">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2022-07-15T06:54:00Z</dcterms:created>
  <dc:creator>lenovo</dc:creator>
  <cp:lastModifiedBy>lenovo</cp:lastModifiedBy>
  <dcterms:modified xsi:type="dcterms:W3CDTF">2022-07-15T06:59:37Z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EF45FD0838E74F5B9E02AB2720B9C010</vt:lpwstr>
  </property>
</Properties>
</file>