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2" w:lineRule="atLeast"/>
        <w:jc w:val="center"/>
        <w:textAlignment w:val="baseline"/>
        <w:rPr>
          <w:rFonts w:ascii="仿宋" w:hAnsi="仿宋" w:eastAsia="仿宋"/>
          <w:color w:val="auto"/>
        </w:rPr>
      </w:pPr>
    </w:p>
    <w:p>
      <w:pPr>
        <w:snapToGrid w:val="0"/>
        <w:spacing w:line="572" w:lineRule="atLeast"/>
        <w:jc w:val="center"/>
        <w:textAlignment w:val="baseline"/>
        <w:rPr>
          <w:rFonts w:ascii="仿宋" w:hAnsi="仿宋" w:eastAsia="仿宋"/>
          <w:color w:val="auto"/>
        </w:rPr>
      </w:pPr>
    </w:p>
    <w:p>
      <w:pPr>
        <w:snapToGrid w:val="0"/>
        <w:spacing w:line="572" w:lineRule="atLeast"/>
        <w:jc w:val="center"/>
        <w:textAlignment w:val="baseline"/>
        <w:rPr>
          <w:rFonts w:ascii="仿宋" w:hAnsi="仿宋" w:eastAsia="仿宋"/>
          <w:color w:val="auto"/>
        </w:rPr>
      </w:pPr>
    </w:p>
    <w:p>
      <w:pPr>
        <w:snapToGrid w:val="0"/>
        <w:spacing w:line="572" w:lineRule="atLeast"/>
        <w:textAlignment w:val="baseline"/>
        <w:rPr>
          <w:rFonts w:hint="eastAsia" w:ascii="仿宋" w:hAnsi="仿宋" w:eastAsia="仿宋"/>
          <w:color w:val="auto"/>
          <w:sz w:val="31"/>
          <w:lang w:eastAsia="zh-CN"/>
        </w:rPr>
      </w:pPr>
    </w:p>
    <w:p>
      <w:pPr>
        <w:pStyle w:val="2"/>
        <w:rPr>
          <w:rFonts w:ascii="仿宋" w:hAnsi="仿宋" w:eastAsia="仿宋"/>
          <w:color w:val="auto"/>
          <w:sz w:val="31"/>
        </w:rPr>
      </w:pPr>
    </w:p>
    <w:p>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ascii="仿宋" w:hAnsi="仿宋" w:eastAsia="仿宋"/>
          <w:color w:val="auto"/>
          <w:sz w:val="31"/>
        </w:rPr>
      </w:pPr>
    </w:p>
    <w:p>
      <w:pPr>
        <w:pStyle w:val="2"/>
        <w:rPr>
          <w:color w:val="auto"/>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 w:hAnsi="仿宋" w:eastAsia="仿宋"/>
          <w:color w:val="auto"/>
          <w:sz w:val="32"/>
          <w:szCs w:val="32"/>
        </w:rPr>
      </w:pPr>
      <w:r>
        <w:rPr>
          <w:rFonts w:ascii="仿宋" w:hAnsi="仿宋" w:eastAsia="仿宋"/>
          <w:color w:val="auto"/>
          <w:sz w:val="32"/>
          <w:szCs w:val="32"/>
        </w:rPr>
        <w:t>龙环</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27</w:t>
      </w:r>
      <w:r>
        <w:rPr>
          <w:rFonts w:ascii="仿宋" w:hAnsi="仿宋" w:eastAsia="仿宋"/>
          <w:color w:val="auto"/>
          <w:sz w:val="32"/>
          <w:szCs w:val="32"/>
        </w:rPr>
        <w:t>号</w:t>
      </w:r>
    </w:p>
    <w:p>
      <w:pPr>
        <w:keepNext w:val="0"/>
        <w:keepLines w:val="0"/>
        <w:pageBreakBefore w:val="0"/>
        <w:widowControl w:val="0"/>
        <w:kinsoku/>
        <w:wordWrap/>
        <w:overflowPunct/>
        <w:topLinePunct w:val="0"/>
        <w:autoSpaceDE/>
        <w:autoSpaceDN/>
        <w:bidi w:val="0"/>
        <w:adjustRightInd/>
        <w:snapToGrid w:val="0"/>
        <w:spacing w:line="680" w:lineRule="exact"/>
        <w:textAlignment w:val="baseline"/>
        <w:rPr>
          <w:rFonts w:hint="eastAsia" w:ascii="方正小标宋_GBK" w:hAnsi="方正小标宋_GBK" w:eastAsia="方正小标宋_GBK" w:cs="方正小标宋_GBK"/>
          <w:b w:val="0"/>
          <w:bCs/>
          <w:color w:val="auto"/>
          <w:sz w:val="44"/>
        </w:rPr>
      </w:pP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baseline"/>
        <w:rPr>
          <w:rStyle w:val="18"/>
          <w:rFonts w:hint="eastAsia" w:ascii="方正小标宋_GBK" w:hAnsi="方正小标宋_GBK" w:eastAsia="方正小标宋_GBK" w:cs="方正小标宋_GBK"/>
          <w:b w:val="0"/>
          <w:bCs/>
          <w:color w:val="auto"/>
        </w:rPr>
      </w:pPr>
      <w:r>
        <w:rPr>
          <w:rFonts w:hint="eastAsia" w:ascii="方正小标宋_GBK" w:hAnsi="方正小标宋_GBK" w:eastAsia="方正小标宋_GBK" w:cs="方正小标宋_GBK"/>
          <w:b w:val="0"/>
          <w:bCs/>
          <w:color w:val="auto"/>
          <w:sz w:val="44"/>
        </w:rPr>
        <w:t>关于河源市长弘运动科技有限公司年产20万支球拍、2万支球杆</w:t>
      </w:r>
      <w:r>
        <w:rPr>
          <w:rStyle w:val="18"/>
          <w:rFonts w:hint="eastAsia" w:ascii="方正小标宋_GBK" w:hAnsi="方正小标宋_GBK" w:eastAsia="方正小标宋_GBK" w:cs="方正小标宋_GBK"/>
          <w:b w:val="0"/>
          <w:bCs/>
          <w:color w:val="auto"/>
        </w:rPr>
        <w:t>建设项目环境影响</w:t>
      </w: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baseline"/>
        <w:rPr>
          <w:rFonts w:hint="eastAsia" w:ascii="方正小标宋_GBK" w:hAnsi="方正小标宋_GBK" w:eastAsia="方正小标宋_GBK" w:cs="方正小标宋_GBK"/>
          <w:b w:val="0"/>
          <w:bCs/>
          <w:color w:val="auto"/>
          <w:sz w:val="44"/>
        </w:rPr>
      </w:pPr>
      <w:r>
        <w:rPr>
          <w:rStyle w:val="18"/>
          <w:rFonts w:hint="eastAsia" w:ascii="方正小标宋_GBK" w:hAnsi="方正小标宋_GBK" w:eastAsia="方正小标宋_GBK" w:cs="方正小标宋_GBK"/>
          <w:b w:val="0"/>
          <w:bCs/>
          <w:color w:val="auto"/>
        </w:rPr>
        <w:t>报告表的批复</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color w:val="auto"/>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河源市长弘运动科技有限公司：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你公司报送的《河源市长弘运动科技有限公司年产20万支球拍、2万支球杆建设项目环境影响报告表》</w:t>
      </w:r>
      <w:r>
        <w:rPr>
          <w:rFonts w:hint="eastAsia" w:ascii="仿宋" w:hAnsi="仿宋" w:eastAsia="仿宋" w:cs="仿宋"/>
          <w:color w:val="auto"/>
          <w:sz w:val="32"/>
          <w:szCs w:val="32"/>
          <w:lang w:eastAsia="zh-CN"/>
        </w:rPr>
        <w:t>（以下简称报告表）</w:t>
      </w:r>
      <w:r>
        <w:rPr>
          <w:rFonts w:hint="eastAsia" w:ascii="仿宋" w:hAnsi="仿宋" w:eastAsia="仿宋" w:cs="仿宋"/>
          <w:color w:val="auto"/>
          <w:sz w:val="32"/>
          <w:szCs w:val="32"/>
        </w:rPr>
        <w:t>及报批申请收悉。根据《中华人民共和国环境影响评价法》、国务院《建设项目环境保护管理条例》和《广东省建设项目环境保护管理条例》的有关规定，现批复如下：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项目概况：该</w:t>
      </w:r>
      <w:r>
        <w:rPr>
          <w:rFonts w:hint="eastAsia" w:ascii="仿宋" w:hAnsi="仿宋" w:eastAsia="仿宋" w:cs="仿宋"/>
          <w:color w:val="auto"/>
          <w:sz w:val="32"/>
          <w:szCs w:val="32"/>
          <w:lang w:eastAsia="zh-CN"/>
        </w:rPr>
        <w:t>项目位于佗城镇宝龙工业园4号厂区，租赁已建好的1栋厂房作为生产场所，占地面积</w:t>
      </w:r>
      <w:r>
        <w:rPr>
          <w:rFonts w:hint="eastAsia" w:ascii="仿宋" w:hAnsi="仿宋" w:eastAsia="仿宋" w:cs="仿宋"/>
          <w:color w:val="auto"/>
          <w:sz w:val="32"/>
          <w:szCs w:val="32"/>
          <w:lang w:val="en-US" w:eastAsia="zh-CN"/>
        </w:rPr>
        <w:t>2800m</w:t>
      </w:r>
      <w:r>
        <w:rPr>
          <w:rFonts w:hint="eastAsia" w:ascii="仿宋" w:hAnsi="仿宋" w:eastAsia="仿宋" w:cs="仿宋"/>
          <w:color w:val="auto"/>
          <w:sz w:val="32"/>
          <w:szCs w:val="32"/>
          <w:vertAlign w:val="superscript"/>
          <w:lang w:val="en-US" w:eastAsia="zh-CN"/>
        </w:rPr>
        <w:t>2</w:t>
      </w:r>
      <w:r>
        <w:rPr>
          <w:rFonts w:hint="eastAsia" w:ascii="仿宋" w:hAnsi="仿宋" w:eastAsia="仿宋" w:cs="仿宋"/>
          <w:color w:val="auto"/>
          <w:sz w:val="32"/>
          <w:szCs w:val="32"/>
          <w:lang w:eastAsia="zh-CN"/>
        </w:rPr>
        <w:t>，建筑面积</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lang w:eastAsia="zh-CN"/>
        </w:rPr>
        <w:t>00m</w:t>
      </w:r>
      <w:r>
        <w:rPr>
          <w:rFonts w:hint="eastAsia" w:ascii="仿宋" w:hAnsi="仿宋" w:eastAsia="仿宋" w:cs="仿宋"/>
          <w:color w:val="auto"/>
          <w:sz w:val="32"/>
          <w:szCs w:val="32"/>
          <w:vertAlign w:val="superscript"/>
          <w:lang w:eastAsia="zh-CN"/>
        </w:rPr>
        <w:t>2</w:t>
      </w:r>
      <w:r>
        <w:rPr>
          <w:rFonts w:hint="eastAsia" w:ascii="仿宋" w:hAnsi="仿宋" w:eastAsia="仿宋" w:cs="仿宋"/>
          <w:color w:val="auto"/>
          <w:sz w:val="32"/>
          <w:szCs w:val="32"/>
          <w:lang w:eastAsia="zh-CN"/>
        </w:rPr>
        <w:t>，设置1区、2区，其中1区设有手磨区、打磨区、喷漆、烘烤、半成品区、成品区、品检区等</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2区设有热压成型区、喷漆、烘烤、贴标签区、半成品区、成品区、品检区等，年产球拍20万支、球杆2万支，主要生产工艺流程为：碳布→热压成型→打磨→喷漆→烘烤→补土→手磨→喷漆、烘烤→贴标签→喷漆→烘烤→品检→成品。项</w:t>
      </w:r>
      <w:r>
        <w:rPr>
          <w:rFonts w:hint="eastAsia" w:ascii="仿宋" w:hAnsi="仿宋" w:eastAsia="仿宋" w:cs="仿宋"/>
          <w:color w:val="auto"/>
          <w:sz w:val="32"/>
          <w:szCs w:val="32"/>
          <w:lang w:val="en-US" w:eastAsia="zh-CN"/>
        </w:rPr>
        <w:t>目总投资400万元，劳动定员80人，年工作250天，均不在厂内食宿。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二、根据报告表的评价结论，原则同意该项目建设，建设单位须对建设内容真实性负责。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三、总量控制指标：本项目不安排废水总量指标；大气污染物挥发性有机物（</w:t>
      </w:r>
      <w:r>
        <w:rPr>
          <w:rFonts w:hint="eastAsia" w:ascii="仿宋" w:hAnsi="仿宋" w:eastAsia="仿宋" w:cs="仿宋"/>
          <w:color w:val="auto"/>
          <w:sz w:val="32"/>
          <w:szCs w:val="32"/>
          <w:lang w:val="en-US" w:eastAsia="zh-CN"/>
        </w:rPr>
        <w:t>VOCs</w:t>
      </w:r>
      <w:r>
        <w:rPr>
          <w:rFonts w:hint="eastAsia" w:ascii="仿宋" w:hAnsi="仿宋" w:eastAsia="仿宋" w:cs="仿宋"/>
          <w:color w:val="auto"/>
          <w:sz w:val="32"/>
          <w:szCs w:val="32"/>
          <w:lang w:eastAsia="zh-CN"/>
        </w:rPr>
        <w:t>）排放总量为</w:t>
      </w:r>
      <w:r>
        <w:rPr>
          <w:rFonts w:hint="eastAsia" w:ascii="仿宋" w:hAnsi="仿宋" w:eastAsia="仿宋" w:cs="仿宋"/>
          <w:color w:val="auto"/>
          <w:sz w:val="32"/>
          <w:szCs w:val="32"/>
          <w:lang w:val="en-US" w:eastAsia="zh-CN"/>
        </w:rPr>
        <w:t>0.243</w:t>
      </w:r>
      <w:r>
        <w:rPr>
          <w:rFonts w:hint="eastAsia" w:ascii="仿宋" w:hAnsi="仿宋" w:eastAsia="仿宋" w:cs="仿宋"/>
          <w:color w:val="auto"/>
          <w:sz w:val="32"/>
          <w:szCs w:val="32"/>
          <w:lang w:eastAsia="zh-CN"/>
        </w:rPr>
        <w:t>吨/年。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四、必须按照环境影响报告表中提出的污染防治措施，在建设</w:t>
      </w:r>
      <w:r>
        <w:rPr>
          <w:rFonts w:hint="eastAsia" w:ascii="仿宋" w:hAnsi="仿宋" w:eastAsia="仿宋" w:cs="仿宋"/>
          <w:color w:val="auto"/>
          <w:sz w:val="32"/>
          <w:szCs w:val="32"/>
          <w:lang w:val="en-US" w:eastAsia="zh-CN"/>
        </w:rPr>
        <w:t>和生产</w:t>
      </w:r>
      <w:r>
        <w:rPr>
          <w:rFonts w:hint="eastAsia" w:ascii="仿宋" w:hAnsi="仿宋" w:eastAsia="仿宋" w:cs="仿宋"/>
          <w:color w:val="auto"/>
          <w:sz w:val="32"/>
          <w:szCs w:val="32"/>
          <w:lang w:val="en-US" w:eastAsia="zh-CN"/>
        </w:rPr>
        <w:t>过程中抓好落实，并重点做好如下工作：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val="en-US" w:eastAsia="zh-CN"/>
        </w:rPr>
        <w:t>做好水污染防治工作。项目生活污水须经预处理达到广东省《水污染物排放限值》（DB44/26-2001）第二时段三级标准后，接入园区污水管网，纳入宝龙工业园污水处理站处理；水帘柜废水、喷淋废水定期更换后须交由有资质单位处理，不得外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en-US" w:eastAsia="zh-CN"/>
        </w:rPr>
        <w:t>做好大气污染防治工作。项目</w:t>
      </w:r>
      <w:r>
        <w:rPr>
          <w:rFonts w:hint="eastAsia" w:ascii="仿宋" w:hAnsi="仿宋" w:eastAsia="仿宋" w:cs="仿宋"/>
          <w:color w:val="auto"/>
          <w:sz w:val="32"/>
          <w:szCs w:val="32"/>
          <w:lang w:val="en-US" w:eastAsia="zh-CN"/>
        </w:rPr>
        <w:t>生产</w:t>
      </w:r>
      <w:r>
        <w:rPr>
          <w:rFonts w:hint="eastAsia" w:ascii="仿宋" w:hAnsi="仿宋" w:eastAsia="仿宋" w:cs="仿宋"/>
          <w:color w:val="auto"/>
          <w:sz w:val="32"/>
          <w:szCs w:val="32"/>
          <w:lang w:val="en-US" w:eastAsia="zh-CN"/>
        </w:rPr>
        <w:t>过程喷漆、烘烤、补土工序产生的废气以及打磨粉尘须</w:t>
      </w:r>
      <w:r>
        <w:rPr>
          <w:rFonts w:hint="eastAsia" w:ascii="仿宋" w:hAnsi="仿宋" w:eastAsia="仿宋" w:cs="仿宋"/>
          <w:color w:val="auto"/>
          <w:sz w:val="32"/>
          <w:szCs w:val="32"/>
          <w:lang w:val="en-US" w:eastAsia="zh-CN"/>
        </w:rPr>
        <w:t>采取有效的收集和处理措施</w:t>
      </w:r>
      <w:r>
        <w:rPr>
          <w:rFonts w:hint="eastAsia" w:ascii="仿宋" w:hAnsi="仿宋" w:eastAsia="仿宋" w:cs="仿宋"/>
          <w:color w:val="auto"/>
          <w:sz w:val="32"/>
          <w:szCs w:val="32"/>
          <w:lang w:val="en-US" w:eastAsia="zh-CN"/>
        </w:rPr>
        <w:t>，各排气筒高度应不低于报告表建议值。粉尘、漆雾排放执行广东省地方标准《大气污染物排放限值》（DB44/27-2001）第二时段二级标准及无组织排放监控浓度限值；挥发性有机废气（VOCs）排放参照执行广东省地方标准《家具制造行业挥发性有机化合物排放标准》（DB44/814-2010）第Ⅱ时段标准限值及无组织排放监控浓度限值；厂区内挥发性有机物无组织排放监控点浓度执行《挥发性有机物无组织排放控制标准》（GB37822-2019）表A.1厂区内VOCs无组织排放限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3.做好噪声污染防治工作。项目通过优选低噪声设备，合理规划布局，对高噪声设备采取隔声、减振或降噪等措施</w:t>
      </w:r>
      <w:r>
        <w:rPr>
          <w:rFonts w:hint="eastAsia" w:ascii="仿宋" w:hAnsi="仿宋" w:eastAsia="仿宋" w:cs="仿宋"/>
          <w:color w:val="auto"/>
          <w:sz w:val="32"/>
          <w:szCs w:val="32"/>
          <w:lang w:eastAsia="zh-CN"/>
        </w:rPr>
        <w:t>，确保厂界噪声达到《工业企业厂界环境噪声排放标准》（GB12348-2008）中的3类标准要求。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做好固体废弃物收集、分类处理和综合利用工作。废塑料薄膜、废纸等包装废料收集后交物资回收公司部门处理，其在厂内暂存场所须符合《一般工业固体废物贮存和填埋污染控制标准》（GB18599-2020）要求；废涂料包装桶、废漆渣、废活性炭、废机油、含油废抹布、水帘柜和喷淋塔更换废水</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lang w:val="en-US" w:eastAsia="zh-CN"/>
        </w:rPr>
        <w:t>危险废物须交由有资质单位处置，其在厂内暂存场所须符合《危险废物贮存污染控制标准》（GB18597-2001）及2013年修改单的相关要求；生活垃圾交由环卫部门统一清运处理。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五、项目须严格按照环境影响评价文件内容及批复进行建设。今后，建设项目的性质、规模、地点、采用的生产工艺或者防治污染、防止生态破坏的措施发生重大变动的，建设单位应当重新报批。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六、本批复自批准之日起满5年，建设项目方开工建设的，其环境影响评价文件应当报原审批部门重新审核。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七、本批复作为该项目选址和报建的依据。项目竣工后，须按相关规定自行开展环保竣工验收并将竣工验收相关材料报送我局备案。备案完成后，项目方可正式投产。</w:t>
      </w:r>
    </w:p>
    <w:p>
      <w:pPr>
        <w:pStyle w:val="2"/>
        <w:keepNext w:val="0"/>
        <w:keepLines w:val="0"/>
        <w:pageBreakBefore w:val="0"/>
        <w:widowControl w:val="0"/>
        <w:kinsoku/>
        <w:wordWrap/>
        <w:overflowPunct/>
        <w:topLinePunct w:val="0"/>
        <w:bidi w:val="0"/>
        <w:snapToGrid/>
        <w:spacing w:line="240" w:lineRule="auto"/>
        <w:rPr>
          <w:rFonts w:hint="eastAsia"/>
          <w:color w:val="auto"/>
          <w:lang w:val="en-US" w:eastAsia="zh-CN"/>
        </w:rPr>
      </w:pPr>
    </w:p>
    <w:p>
      <w:pPr>
        <w:pStyle w:val="4"/>
        <w:keepNext w:val="0"/>
        <w:keepLines w:val="0"/>
        <w:pageBreakBefore w:val="0"/>
        <w:widowControl w:val="0"/>
        <w:kinsoku/>
        <w:wordWrap/>
        <w:overflowPunct/>
        <w:topLinePunct w:val="0"/>
        <w:bidi w:val="0"/>
        <w:snapToGrid/>
        <w:spacing w:line="240" w:lineRule="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河源市生态环境局龙川分局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2022年9月21</w:t>
      </w:r>
      <w:bookmarkStart w:id="0" w:name="_GoBack"/>
      <w:bookmarkEnd w:id="0"/>
      <w:r>
        <w:rPr>
          <w:rFonts w:hint="eastAsia" w:ascii="仿宋" w:hAnsi="仿宋" w:eastAsia="仿宋" w:cs="仿宋"/>
          <w:color w:val="auto"/>
          <w:sz w:val="32"/>
          <w:szCs w:val="32"/>
          <w:lang w:val="en-US" w:eastAsia="zh-CN"/>
        </w:rPr>
        <w:t>日</w:t>
      </w:r>
    </w:p>
    <w:p>
      <w:pPr>
        <w:pStyle w:val="2"/>
        <w:rPr>
          <w:rFonts w:hint="eastAsia" w:ascii="仿宋" w:hAnsi="仿宋" w:eastAsia="仿宋" w:cs="仿宋"/>
          <w:color w:val="auto"/>
          <w:sz w:val="32"/>
          <w:szCs w:val="32"/>
          <w:lang w:val="en-US" w:eastAsia="zh-CN"/>
        </w:rPr>
      </w:pPr>
    </w:p>
    <w:p>
      <w:pPr>
        <w:pStyle w:val="4"/>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Style w:val="4"/>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Style w:val="4"/>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Style w:val="4"/>
        <w:rPr>
          <w:rFonts w:hint="eastAsia" w:ascii="仿宋" w:hAnsi="仿宋" w:eastAsia="仿宋" w:cs="仿宋"/>
          <w:color w:val="auto"/>
          <w:sz w:val="32"/>
          <w:szCs w:val="32"/>
          <w:lang w:val="en-US" w:eastAsia="zh-CN"/>
        </w:rPr>
      </w:pPr>
    </w:p>
    <w:p>
      <w:pPr>
        <w:pStyle w:val="2"/>
        <w:rPr>
          <w:rFonts w:hint="eastAsia"/>
          <w:color w:val="auto"/>
          <w:lang w:val="en-US" w:eastAsia="zh-CN"/>
        </w:rPr>
      </w:pPr>
    </w:p>
    <w:tbl>
      <w:tblPr>
        <w:tblStyle w:val="10"/>
        <w:tblpPr w:leftFromText="180" w:rightFromText="180" w:vertAnchor="text" w:horzAnchor="page" w:tblpX="1432" w:tblpY="187"/>
        <w:tblOverlap w:val="never"/>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 w:hRule="atLeast"/>
          <w:jc w:val="center"/>
        </w:trPr>
        <w:tc>
          <w:tcPr>
            <w:tcW w:w="8908" w:type="dxa"/>
            <w:tcBorders>
              <w:top w:val="single" w:color="auto" w:sz="4" w:space="0"/>
              <w:left w:val="nil"/>
              <w:bottom w:val="single" w:color="000000" w:sz="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抄送：市生态环境局，县发改局，县工业园管委会，广东明大项目管理环境科技有限公司</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lang w:val="en-US" w:eastAsia="zh-CN"/>
        </w:rPr>
      </w:pPr>
    </w:p>
    <w:sectPr>
      <w:footerReference r:id="rId3" w:type="default"/>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altName w:val="Meiryo UI"/>
    <w:panose1 w:val="02020609040205080304"/>
    <w:charset w:val="80"/>
    <w:family w:val="roma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ZTg2NDQ0MWQ3NjY2YzI5YzI5OWI5N2Y3NDMxMjQifQ=="/>
  </w:docVars>
  <w:rsids>
    <w:rsidRoot w:val="01E6249F"/>
    <w:rsid w:val="0001072D"/>
    <w:rsid w:val="000E5AA3"/>
    <w:rsid w:val="0040106C"/>
    <w:rsid w:val="00565568"/>
    <w:rsid w:val="00C24B84"/>
    <w:rsid w:val="00C92515"/>
    <w:rsid w:val="01E6249F"/>
    <w:rsid w:val="064209DC"/>
    <w:rsid w:val="06912C33"/>
    <w:rsid w:val="07F61B10"/>
    <w:rsid w:val="0B3C0346"/>
    <w:rsid w:val="10626FBD"/>
    <w:rsid w:val="127D5295"/>
    <w:rsid w:val="15AF5CED"/>
    <w:rsid w:val="1A723AA3"/>
    <w:rsid w:val="1B5D6161"/>
    <w:rsid w:val="1C54375B"/>
    <w:rsid w:val="1D186606"/>
    <w:rsid w:val="225D14BB"/>
    <w:rsid w:val="22D2235C"/>
    <w:rsid w:val="22D93884"/>
    <w:rsid w:val="25222E9A"/>
    <w:rsid w:val="255C6B9F"/>
    <w:rsid w:val="279D0A0B"/>
    <w:rsid w:val="2A5D6880"/>
    <w:rsid w:val="2CDB7C03"/>
    <w:rsid w:val="2D774740"/>
    <w:rsid w:val="2ECA3549"/>
    <w:rsid w:val="32EF48D1"/>
    <w:rsid w:val="365D3AE3"/>
    <w:rsid w:val="39A27980"/>
    <w:rsid w:val="3A121D88"/>
    <w:rsid w:val="3B6E322D"/>
    <w:rsid w:val="3DC15253"/>
    <w:rsid w:val="3E183627"/>
    <w:rsid w:val="3EE05D3C"/>
    <w:rsid w:val="3F545FCB"/>
    <w:rsid w:val="41357825"/>
    <w:rsid w:val="41F24ACA"/>
    <w:rsid w:val="464866EC"/>
    <w:rsid w:val="464A6C20"/>
    <w:rsid w:val="468E506F"/>
    <w:rsid w:val="475570FA"/>
    <w:rsid w:val="47E75344"/>
    <w:rsid w:val="49680C52"/>
    <w:rsid w:val="4A2472A9"/>
    <w:rsid w:val="4A30233B"/>
    <w:rsid w:val="4C224260"/>
    <w:rsid w:val="4CA51342"/>
    <w:rsid w:val="4D3B7DDD"/>
    <w:rsid w:val="50403F1F"/>
    <w:rsid w:val="51A01919"/>
    <w:rsid w:val="520E3BB9"/>
    <w:rsid w:val="524D691B"/>
    <w:rsid w:val="53CC4B45"/>
    <w:rsid w:val="54560F83"/>
    <w:rsid w:val="54C2177F"/>
    <w:rsid w:val="5F7F4AA9"/>
    <w:rsid w:val="5FE02340"/>
    <w:rsid w:val="5FF1745D"/>
    <w:rsid w:val="61543028"/>
    <w:rsid w:val="639943B8"/>
    <w:rsid w:val="63FE740D"/>
    <w:rsid w:val="64E42D54"/>
    <w:rsid w:val="68DE4E26"/>
    <w:rsid w:val="69C95616"/>
    <w:rsid w:val="6AE51003"/>
    <w:rsid w:val="6C35729F"/>
    <w:rsid w:val="6CC161E5"/>
    <w:rsid w:val="6CC20B82"/>
    <w:rsid w:val="6DBF27E9"/>
    <w:rsid w:val="6E5B5810"/>
    <w:rsid w:val="6F6C705A"/>
    <w:rsid w:val="6FF05352"/>
    <w:rsid w:val="726E49E7"/>
    <w:rsid w:val="73AA0132"/>
    <w:rsid w:val="76767E7A"/>
    <w:rsid w:val="794414E0"/>
    <w:rsid w:val="7BF5379C"/>
    <w:rsid w:val="7D221872"/>
    <w:rsid w:val="7D30402E"/>
    <w:rsid w:val="7EA3554B"/>
    <w:rsid w:val="7F3C3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8"/>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hAnsi="Times New Roman" w:cs="宋体"/>
      <w:color w:val="000000"/>
      <w:sz w:val="24"/>
      <w:szCs w:val="24"/>
    </w:rPr>
  </w:style>
  <w:style w:type="paragraph" w:customStyle="1" w:styleId="3">
    <w:name w:val="纯文本1"/>
    <w:basedOn w:val="1"/>
    <w:qFormat/>
    <w:uiPriority w:val="0"/>
    <w:pPr>
      <w:adjustRightInd w:val="0"/>
      <w:textAlignment w:val="baseline"/>
    </w:pPr>
    <w:rPr>
      <w:rFonts w:ascii="宋体" w:hAnsi="Courier New"/>
    </w:rPr>
  </w:style>
  <w:style w:type="paragraph" w:styleId="4">
    <w:name w:val="List"/>
    <w:basedOn w:val="1"/>
    <w:next w:val="1"/>
    <w:qFormat/>
    <w:uiPriority w:val="0"/>
    <w:pPr>
      <w:ind w:left="200" w:hanging="200" w:hangingChars="200"/>
    </w:pPr>
    <w:rPr>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nhideWhenUsed/>
    <w:qFormat/>
    <w:uiPriority w:val="39"/>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2">
    <w:name w:val="样式35"/>
    <w:basedOn w:val="13"/>
    <w:next w:val="17"/>
    <w:qFormat/>
    <w:uiPriority w:val="0"/>
    <w:pPr>
      <w:tabs>
        <w:tab w:val="left" w:pos="0"/>
        <w:tab w:val="left" w:pos="360"/>
        <w:tab w:val="left" w:pos="540"/>
        <w:tab w:val="left" w:pos="567"/>
      </w:tabs>
      <w:adjustRightInd w:val="0"/>
      <w:spacing w:line="312" w:lineRule="auto"/>
      <w:ind w:firstLine="567"/>
    </w:pPr>
    <w:rPr>
      <w:rFonts w:ascii="宋体"/>
      <w:szCs w:val="20"/>
    </w:rPr>
  </w:style>
  <w:style w:type="paragraph" w:customStyle="1" w:styleId="13">
    <w:name w:val="样式26"/>
    <w:basedOn w:val="14"/>
    <w:qFormat/>
    <w:uiPriority w:val="0"/>
    <w:pPr>
      <w:tabs>
        <w:tab w:val="left" w:pos="0"/>
        <w:tab w:val="left" w:pos="360"/>
        <w:tab w:val="left" w:pos="540"/>
        <w:tab w:val="left" w:pos="567"/>
      </w:tabs>
    </w:pPr>
  </w:style>
  <w:style w:type="paragraph" w:customStyle="1" w:styleId="14">
    <w:name w:val="样式21"/>
    <w:basedOn w:val="15"/>
    <w:qFormat/>
    <w:uiPriority w:val="0"/>
    <w:pPr>
      <w:tabs>
        <w:tab w:val="left" w:pos="360"/>
        <w:tab w:val="left" w:pos="567"/>
      </w:tabs>
      <w:spacing w:before="120" w:beforeLines="0" w:after="120" w:afterLines="0"/>
      <w:ind w:hanging="992"/>
    </w:pPr>
  </w:style>
  <w:style w:type="paragraph" w:customStyle="1" w:styleId="15">
    <w:name w:val="样式5"/>
    <w:basedOn w:val="16"/>
    <w:qFormat/>
    <w:uiPriority w:val="0"/>
    <w:pPr>
      <w:tabs>
        <w:tab w:val="left" w:pos="360"/>
        <w:tab w:val="left" w:pos="567"/>
      </w:tabs>
    </w:pPr>
  </w:style>
  <w:style w:type="paragraph" w:customStyle="1" w:styleId="16">
    <w:name w:val="样式12"/>
    <w:basedOn w:val="1"/>
    <w:qFormat/>
    <w:uiPriority w:val="0"/>
    <w:pPr>
      <w:keepNext/>
      <w:keepLines/>
      <w:tabs>
        <w:tab w:val="left" w:pos="360"/>
      </w:tabs>
      <w:spacing w:before="156" w:beforeLines="50" w:after="156" w:afterLines="50" w:line="360" w:lineRule="auto"/>
      <w:ind w:left="567" w:hanging="567"/>
      <w:outlineLvl w:val="1"/>
    </w:pPr>
    <w:rPr>
      <w:rFonts w:eastAsia="MS Mincho"/>
      <w:kern w:val="0"/>
      <w:sz w:val="28"/>
      <w:szCs w:val="28"/>
    </w:rPr>
  </w:style>
  <w:style w:type="paragraph" w:customStyle="1" w:styleId="17">
    <w:name w:val="font6"/>
    <w:basedOn w:val="1"/>
    <w:next w:val="8"/>
    <w:qFormat/>
    <w:uiPriority w:val="0"/>
    <w:pPr>
      <w:widowControl/>
      <w:spacing w:before="280" w:after="280"/>
    </w:pPr>
  </w:style>
  <w:style w:type="character" w:customStyle="1" w:styleId="18">
    <w:name w:val="标题 1字符"/>
    <w:link w:val="5"/>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1450</Words>
  <Characters>1574</Characters>
  <Lines>11</Lines>
  <Paragraphs>3</Paragraphs>
  <TotalTime>1092</TotalTime>
  <ScaleCrop>false</ScaleCrop>
  <LinksUpToDate>false</LinksUpToDate>
  <CharactersWithSpaces>1613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2021-06-10T13:30:00Z</dcterms:created>
  <dc:creator>lenovo</dc:creator>
  <cp:lastModifiedBy>A美丽孤独灿烂</cp:lastModifiedBy>
  <cp:lastPrinted>2022-04-14T09:10:00Z</cp:lastPrinted>
  <dcterms:modified xsi:type="dcterms:W3CDTF">2022-09-30T07:43:00Z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660CBEE046404878B529BFC500C9931C</vt:lpwstr>
  </property>
</Properties>
</file>