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7" w:lineRule="atLeast"/>
        <w:jc w:val="center"/>
        <w:textAlignment w:val="baseline"/>
      </w:pPr>
    </w:p>
    <w:p>
      <w:pPr>
        <w:snapToGrid w:val="0"/>
        <w:spacing w:line="572" w:lineRule="atLeast"/>
        <w:jc w:val="center"/>
        <w:textAlignment w:val="baseline"/>
      </w:pPr>
    </w:p>
    <w:p>
      <w:pPr>
        <w:snapToGrid w:val="0"/>
        <w:spacing w:line="572" w:lineRule="atLeast"/>
        <w:jc w:val="center"/>
        <w:textAlignment w:val="baseline"/>
      </w:pPr>
    </w:p>
    <w:p>
      <w:pPr>
        <w:snapToGrid w:val="0"/>
        <w:spacing w:line="572" w:lineRule="atLeast"/>
        <w:jc w:val="both"/>
        <w:textAlignment w:val="baseline"/>
      </w:pPr>
    </w:p>
    <w:p>
      <w:pPr>
        <w:snapToGrid w:val="0"/>
        <w:spacing w:line="572" w:lineRule="atLeast"/>
        <w:jc w:val="center"/>
        <w:textAlignment w:val="baseline"/>
      </w:pPr>
    </w:p>
    <w:p>
      <w:pPr>
        <w:snapToGrid w:val="0"/>
        <w:spacing w:line="572" w:lineRule="atLeast"/>
        <w:jc w:val="center"/>
        <w:textAlignment w:val="baseline"/>
      </w:pPr>
    </w:p>
    <w:p>
      <w:pPr>
        <w:snapToGrid w:val="0"/>
        <w:spacing w:line="572" w:lineRule="atLeast"/>
        <w:jc w:val="center"/>
        <w:textAlignment w:val="baseline"/>
        <w:rPr>
          <w:rFonts w:hint="eastAsia" w:ascii="仿宋" w:hAnsi="仿宋" w:eastAsia="仿宋"/>
          <w:sz w:val="32"/>
          <w:szCs w:val="32"/>
        </w:rPr>
      </w:pPr>
      <w:r>
        <w:rPr>
          <w:rFonts w:ascii="仿宋_GB2312" w:eastAsia="仿宋_GB2312"/>
          <w:sz w:val="31"/>
        </w:rPr>
        <w:t>龙环</w:t>
      </w:r>
      <w:r>
        <w:rPr>
          <w:rFonts w:hint="eastAsia" w:ascii="仿宋" w:hAnsi="仿宋" w:eastAsia="仿宋"/>
          <w:sz w:val="32"/>
          <w:szCs w:val="32"/>
        </w:rPr>
        <w:t>〔</w:t>
      </w:r>
      <w:r>
        <w:rPr>
          <w:rFonts w:ascii="仿宋_GB2312" w:eastAsia="仿宋_GB2312"/>
          <w:sz w:val="31"/>
        </w:rPr>
        <w:t>20</w:t>
      </w:r>
      <w:r>
        <w:rPr>
          <w:rFonts w:hint="eastAsia" w:ascii="仿宋" w:hAnsi="仿宋" w:eastAsia="仿宋"/>
          <w:sz w:val="32"/>
          <w:szCs w:val="32"/>
          <w:lang w:val="en-US" w:eastAsia="zh-CN"/>
        </w:rPr>
        <w:t>22</w:t>
      </w:r>
      <w:r>
        <w:rPr>
          <w:rFonts w:hint="eastAsia" w:ascii="仿宋" w:hAnsi="仿宋" w:eastAsia="仿宋"/>
          <w:sz w:val="32"/>
          <w:szCs w:val="32"/>
        </w:rPr>
        <w:t>〕</w:t>
      </w:r>
      <w:r>
        <w:rPr>
          <w:rFonts w:hint="eastAsia" w:ascii="仿宋" w:hAnsi="仿宋" w:eastAsia="仿宋"/>
          <w:sz w:val="32"/>
          <w:szCs w:val="32"/>
          <w:lang w:val="en-US" w:eastAsia="zh-CN"/>
        </w:rPr>
        <w:t>30</w:t>
      </w:r>
      <w:r>
        <w:rPr>
          <w:rFonts w:hint="eastAsia" w:ascii="仿宋" w:hAnsi="仿宋" w:eastAsia="仿宋"/>
          <w:sz w:val="32"/>
          <w:szCs w:val="32"/>
        </w:rPr>
        <w:t>号</w:t>
      </w:r>
    </w:p>
    <w:p>
      <w:pPr>
        <w:snapToGrid w:val="0"/>
        <w:spacing w:line="572" w:lineRule="atLeast"/>
        <w:jc w:val="center"/>
        <w:textAlignment w:val="baseline"/>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baseline"/>
      </w:pPr>
      <w:r>
        <w:rPr>
          <w:rFonts w:hint="eastAsia" w:ascii="方正小标宋_GBK" w:hAnsi="方正小标宋_GBK" w:eastAsia="方正小标宋_GBK" w:cs="方正小标宋_GBK"/>
          <w:b w:val="0"/>
          <w:bCs w:val="0"/>
          <w:sz w:val="44"/>
          <w:szCs w:val="44"/>
        </w:rPr>
        <w:t>关于龙川县新城区供水公司水厂工程（一期）</w:t>
      </w:r>
      <w:r>
        <w:rPr>
          <w:rFonts w:hint="eastAsia" w:ascii="方正小标宋_GBK" w:hAnsi="方正小标宋_GBK" w:eastAsia="方正小标宋_GBK" w:cs="方正小标宋_GBK"/>
          <w:b w:val="0"/>
          <w:bCs w:val="0"/>
          <w:sz w:val="44"/>
          <w:szCs w:val="44"/>
          <w:lang w:eastAsia="zh-CN"/>
        </w:rPr>
        <w:t>建设</w:t>
      </w:r>
      <w:r>
        <w:rPr>
          <w:rFonts w:hint="eastAsia" w:ascii="方正小标宋_GBK" w:hAnsi="方正小标宋_GBK" w:eastAsia="方正小标宋_GBK" w:cs="方正小标宋_GBK"/>
          <w:b w:val="0"/>
          <w:bCs w:val="0"/>
          <w:sz w:val="44"/>
          <w:szCs w:val="44"/>
        </w:rPr>
        <w:t>项目环境影响报告表的批复</w:t>
      </w:r>
    </w:p>
    <w:p>
      <w:pPr>
        <w:snapToGrid w:val="0"/>
        <w:spacing w:line="560" w:lineRule="exact"/>
        <w:ind w:firstLine="5"/>
        <w:textAlignment w:val="baseline"/>
        <w:rPr>
          <w:rFonts w:eastAsia="仿宋_GB2312"/>
          <w:sz w:val="31"/>
        </w:rPr>
      </w:pPr>
    </w:p>
    <w:p>
      <w:pPr>
        <w:keepNext w:val="0"/>
        <w:keepLines w:val="0"/>
        <w:pageBreakBefore w:val="0"/>
        <w:widowControl w:val="0"/>
        <w:kinsoku/>
        <w:wordWrap/>
        <w:overflowPunct/>
        <w:topLinePunct w:val="0"/>
        <w:autoSpaceDE/>
        <w:autoSpaceDN/>
        <w:bidi w:val="0"/>
        <w:adjustRightInd/>
        <w:spacing w:line="240" w:lineRule="auto"/>
        <w:textAlignment w:val="baseline"/>
        <w:rPr>
          <w:rFonts w:hint="eastAsia" w:ascii="仿宋" w:hAnsi="仿宋" w:eastAsia="仿宋" w:cs="Times New Roman"/>
          <w:sz w:val="32"/>
          <w:highlight w:val="none"/>
          <w:lang w:val="en-US" w:eastAsia="zh-CN"/>
        </w:rPr>
      </w:pPr>
      <w:r>
        <w:rPr>
          <w:rFonts w:hint="eastAsia" w:ascii="仿宋" w:hAnsi="仿宋" w:eastAsia="仿宋" w:cs="Times New Roman"/>
          <w:sz w:val="32"/>
          <w:highlight w:val="none"/>
          <w:lang w:val="en-US" w:eastAsia="zh-CN"/>
        </w:rPr>
        <w:t>龙川县新城供水有限公司：</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val="en-US" w:eastAsia="zh-CN"/>
        </w:rPr>
      </w:pPr>
      <w:r>
        <w:rPr>
          <w:rFonts w:hint="eastAsia" w:ascii="仿宋" w:hAnsi="仿宋" w:eastAsia="仿宋" w:cs="Times New Roman"/>
          <w:sz w:val="32"/>
          <w:highlight w:val="none"/>
          <w:lang w:val="en-US" w:eastAsia="zh-CN"/>
        </w:rPr>
        <w:t>你公司报送的《龙川县新城区供水公司水厂工程（一期）建设项目环境影响报告表》（以下简称报告表）及报批申请收悉。根据《中华人民共和国环境影响评价法》、国务院《建设项目环境保护管理条例》和《广东省建设项目环境保护管理条例》等规定，现批复如下：</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val="en-US" w:eastAsia="zh-CN"/>
        </w:rPr>
      </w:pPr>
      <w:r>
        <w:rPr>
          <w:rFonts w:hint="eastAsia" w:ascii="仿宋" w:hAnsi="仿宋" w:eastAsia="仿宋" w:cs="Times New Roman"/>
          <w:sz w:val="32"/>
          <w:highlight w:val="none"/>
          <w:lang w:val="en-US" w:eastAsia="zh-CN"/>
        </w:rPr>
        <w:t>一、项目概况：该项目位于老隆镇浮石村，占地面积34315.24m</w:t>
      </w:r>
      <w:r>
        <w:rPr>
          <w:rFonts w:hint="eastAsia" w:ascii="仿宋" w:hAnsi="仿宋" w:eastAsia="仿宋" w:cs="Times New Roman"/>
          <w:sz w:val="32"/>
          <w:highlight w:val="none"/>
          <w:vertAlign w:val="superscript"/>
          <w:lang w:val="en-US" w:eastAsia="zh-CN"/>
        </w:rPr>
        <w:t>2</w:t>
      </w:r>
      <w:r>
        <w:rPr>
          <w:rFonts w:hint="eastAsia" w:ascii="仿宋" w:hAnsi="仿宋" w:eastAsia="仿宋" w:cs="Times New Roman"/>
          <w:sz w:val="32"/>
          <w:highlight w:val="none"/>
          <w:lang w:val="en-US" w:eastAsia="zh-CN"/>
        </w:rPr>
        <w:t>，建筑面积5818.22m</w:t>
      </w:r>
      <w:r>
        <w:rPr>
          <w:rFonts w:hint="eastAsia" w:ascii="仿宋" w:hAnsi="仿宋" w:eastAsia="仿宋" w:cs="Times New Roman"/>
          <w:sz w:val="32"/>
          <w:highlight w:val="none"/>
          <w:vertAlign w:val="superscript"/>
          <w:lang w:val="en-US" w:eastAsia="zh-CN"/>
        </w:rPr>
        <w:t>2</w:t>
      </w:r>
      <w:r>
        <w:rPr>
          <w:rFonts w:hint="eastAsia" w:ascii="仿宋" w:hAnsi="仿宋" w:eastAsia="仿宋" w:cs="Times New Roman"/>
          <w:sz w:val="32"/>
          <w:highlight w:val="none"/>
          <w:lang w:val="en-US" w:eastAsia="zh-CN"/>
        </w:rPr>
        <w:t>，包括机械混合折板絮凝平流沉淀池（下叠清水池）、反冲洗泵房及配电间、V型滤池、综合加药间、二级泵房及配水井、排水池、排泥池、浓缩池、平衡池、脱水机房、机修车间以及1栋三层综合楼。本项目水源为东江水，取水头部位于苏雷坝上游；主要从事为自来水生产，设计供水能力为10万m</w:t>
      </w:r>
      <w:r>
        <w:rPr>
          <w:rFonts w:hint="eastAsia" w:ascii="仿宋" w:hAnsi="仿宋" w:eastAsia="仿宋" w:cs="Times New Roman"/>
          <w:sz w:val="32"/>
          <w:highlight w:val="none"/>
          <w:vertAlign w:val="superscript"/>
          <w:lang w:val="en-US" w:eastAsia="zh-CN"/>
        </w:rPr>
        <w:t>3</w:t>
      </w:r>
      <w:r>
        <w:rPr>
          <w:rFonts w:hint="eastAsia" w:ascii="仿宋" w:hAnsi="仿宋" w:eastAsia="仿宋" w:cs="Times New Roman"/>
          <w:sz w:val="32"/>
          <w:highlight w:val="none"/>
          <w:lang w:val="en-US" w:eastAsia="zh-CN"/>
        </w:rPr>
        <w:t>/d；总投资26905万元，劳动定员28人，年工作365天，均在厂内食宿。</w:t>
      </w:r>
    </w:p>
    <w:p>
      <w:pPr>
        <w:snapToGrid w:val="0"/>
        <w:spacing w:line="560" w:lineRule="exact"/>
        <w:ind w:firstLine="615"/>
        <w:textAlignment w:val="baseline"/>
        <w:rPr>
          <w:rFonts w:ascii="仿宋_GB2312" w:eastAsia="仿宋_GB2312"/>
          <w:sz w:val="31"/>
        </w:rPr>
      </w:pPr>
      <w:r>
        <w:rPr>
          <w:rFonts w:hint="eastAsia" w:ascii="仿宋_GB2312" w:eastAsia="仿宋_GB2312"/>
          <w:sz w:val="31"/>
        </w:rPr>
        <w:t>二、根据报告表的评价结论，原则同意该项目建设，建设单位须对建设内容真实性负责。</w:t>
      </w:r>
    </w:p>
    <w:p>
      <w:pPr>
        <w:widowControl/>
        <w:autoSpaceDN w:val="0"/>
        <w:spacing w:line="560" w:lineRule="exact"/>
        <w:ind w:firstLine="639"/>
        <w:textAlignment w:val="bottom"/>
        <w:rPr>
          <w:rFonts w:ascii="仿宋_GB2312" w:eastAsia="仿宋_GB2312"/>
          <w:kern w:val="0"/>
          <w:sz w:val="32"/>
          <w:szCs w:val="32"/>
          <w:highlight w:val="none"/>
        </w:rPr>
      </w:pPr>
      <w:r>
        <w:rPr>
          <w:rFonts w:hint="eastAsia" w:ascii="仿宋_GB2312" w:eastAsia="仿宋_GB2312"/>
          <w:sz w:val="31"/>
          <w:highlight w:val="none"/>
        </w:rPr>
        <w:t>三、</w:t>
      </w:r>
      <w:r>
        <w:rPr>
          <w:rFonts w:hint="eastAsia" w:ascii="仿宋_GB2312" w:eastAsia="仿宋_GB2312"/>
          <w:kern w:val="0"/>
          <w:sz w:val="32"/>
          <w:szCs w:val="32"/>
          <w:highlight w:val="none"/>
        </w:rPr>
        <w:t>总量控制指标：</w:t>
      </w:r>
      <w:r>
        <w:rPr>
          <w:rFonts w:hint="eastAsia" w:ascii="仿宋_GB2312" w:eastAsia="仿宋_GB2312"/>
          <w:sz w:val="32"/>
          <w:szCs w:val="32"/>
          <w:highlight w:val="none"/>
        </w:rPr>
        <w:t>本项目不安排废水</w:t>
      </w:r>
      <w:r>
        <w:rPr>
          <w:rFonts w:hint="eastAsia" w:ascii="仿宋_GB2312" w:eastAsia="仿宋_GB2312"/>
          <w:sz w:val="32"/>
          <w:szCs w:val="32"/>
          <w:highlight w:val="none"/>
          <w:lang w:eastAsia="zh-CN"/>
        </w:rPr>
        <w:t>、废气排放</w:t>
      </w:r>
      <w:r>
        <w:rPr>
          <w:rFonts w:hint="eastAsia" w:ascii="仿宋_GB2312" w:eastAsia="仿宋_GB2312"/>
          <w:sz w:val="32"/>
          <w:szCs w:val="32"/>
          <w:highlight w:val="none"/>
        </w:rPr>
        <w:t>总量指标</w:t>
      </w:r>
      <w:r>
        <w:rPr>
          <w:rFonts w:hint="eastAsia" w:ascii="仿宋_GB2312" w:eastAsia="仿宋_GB2312" w:hAnsiTheme="majorEastAsia"/>
          <w:sz w:val="32"/>
          <w:szCs w:val="32"/>
          <w:highlight w:val="none"/>
        </w:rPr>
        <w:t>。</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eastAsia="zh-CN"/>
        </w:rPr>
      </w:pPr>
      <w:r>
        <w:rPr>
          <w:rFonts w:hint="eastAsia" w:ascii="仿宋" w:hAnsi="仿宋" w:eastAsia="仿宋" w:cs="Times New Roman"/>
          <w:sz w:val="32"/>
          <w:highlight w:val="none"/>
          <w:lang w:eastAsia="zh-CN"/>
        </w:rPr>
        <w:t>四、必须按照环境影响报告表中提出的污染防治措施，在建设和生产过程中抓好落实，并重点做好如下工作：</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_GB2312" w:eastAsia="仿宋_GB2312"/>
          <w:sz w:val="31"/>
        </w:rPr>
      </w:pPr>
      <w:r>
        <w:rPr>
          <w:rFonts w:hint="eastAsia" w:ascii="仿宋" w:hAnsi="仿宋" w:eastAsia="仿宋" w:cs="Times New Roman"/>
          <w:sz w:val="32"/>
          <w:highlight w:val="none"/>
          <w:lang w:eastAsia="zh-CN"/>
        </w:rPr>
        <w:t>1.应优选施工期环境保护方案，加强施工期环境管理，施工噪声防治应严格执行《噪声污染防治法》的相关规定，同时须做好施工废水、扬尘和工程废弃物的收集处理。</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sz w:val="32"/>
          <w:szCs w:val="32"/>
        </w:rPr>
      </w:pPr>
      <w:r>
        <w:rPr>
          <w:rFonts w:hint="eastAsia" w:ascii="仿宋" w:hAnsi="仿宋" w:eastAsia="仿宋" w:cs="Times New Roman"/>
          <w:sz w:val="32"/>
          <w:highlight w:val="none"/>
          <w:lang w:eastAsia="zh-CN"/>
        </w:rPr>
        <w:t>2</w:t>
      </w:r>
      <w:r>
        <w:rPr>
          <w:rFonts w:hint="eastAsia" w:ascii="仿宋" w:hAnsi="仿宋" w:eastAsia="仿宋" w:cs="Times New Roman"/>
          <w:sz w:val="32"/>
          <w:highlight w:val="none"/>
          <w:lang w:val="en-US" w:eastAsia="zh-CN"/>
        </w:rPr>
        <w:t>.做好水污染防治工作。生活污水须经处理达到《农田灌溉水质标准》(GB508</w:t>
      </w:r>
      <w:r>
        <w:rPr>
          <w:rFonts w:hint="eastAsia" w:ascii="仿宋" w:hAnsi="仿宋" w:eastAsia="仿宋" w:cs="仿宋"/>
          <w:sz w:val="32"/>
          <w:szCs w:val="32"/>
          <w:lang w:val="en-US" w:eastAsia="zh-CN"/>
        </w:rPr>
        <w:t>4-2005)旱作标准后回用，不得直排；污泥压滤液由槽罐车运至龙川县城生活污水处理厂处理，不得外排。</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val="en-US" w:eastAsia="zh-CN"/>
        </w:rPr>
      </w:pPr>
      <w:r>
        <w:rPr>
          <w:rFonts w:hint="eastAsia" w:ascii="仿宋" w:hAnsi="仿宋" w:eastAsia="仿宋" w:cs="Times New Roman"/>
          <w:sz w:val="32"/>
          <w:highlight w:val="none"/>
          <w:lang w:eastAsia="zh-CN"/>
        </w:rPr>
        <w:t>3</w:t>
      </w:r>
      <w:r>
        <w:rPr>
          <w:rFonts w:hint="eastAsia" w:ascii="仿宋" w:hAnsi="仿宋" w:eastAsia="仿宋" w:cs="Times New Roman"/>
          <w:sz w:val="32"/>
          <w:highlight w:val="none"/>
          <w:lang w:val="en-US" w:eastAsia="zh-CN"/>
        </w:rPr>
        <w:t>.做好大气污染防治工作。食堂油烟须经通过静电油烟净化器处理后由内置烟道引至楼顶排放，执行《饮食业油烟排放标准（试行）》（GB18483-2001）标准。</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val="en-US" w:eastAsia="zh-CN"/>
        </w:rPr>
      </w:pPr>
      <w:r>
        <w:rPr>
          <w:rFonts w:hint="eastAsia" w:ascii="仿宋" w:hAnsi="仿宋" w:eastAsia="仿宋" w:cs="Times New Roman"/>
          <w:sz w:val="32"/>
          <w:highlight w:val="none"/>
          <w:lang w:val="en-US" w:eastAsia="zh-CN"/>
        </w:rPr>
        <w:t>4.做好噪声污染防治工作。通过优选低噪声机械设备，合理布局，落实高噪声设备的减振、降噪措施，加强设备维护，通过建筑隔声、距离衰减等，确保厂界噪声满足《工业企业环境噪声排放标准》（GB12348-2008）中2类标准要求。</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default" w:ascii="仿宋" w:hAnsi="仿宋" w:eastAsia="仿宋" w:cs="Times New Roman"/>
          <w:sz w:val="32"/>
          <w:highlight w:val="none"/>
          <w:lang w:val="en-US" w:eastAsia="zh-CN"/>
        </w:rPr>
      </w:pPr>
      <w:r>
        <w:rPr>
          <w:rFonts w:hint="eastAsia" w:ascii="仿宋" w:hAnsi="仿宋" w:eastAsia="仿宋" w:cs="Times New Roman"/>
          <w:sz w:val="32"/>
          <w:highlight w:val="none"/>
          <w:lang w:val="en-US" w:eastAsia="zh-CN"/>
        </w:rPr>
        <w:t>5.</w:t>
      </w:r>
      <w:r>
        <w:rPr>
          <w:rFonts w:hint="default" w:ascii="仿宋" w:hAnsi="仿宋" w:eastAsia="仿宋" w:cs="Times New Roman"/>
          <w:sz w:val="32"/>
          <w:highlight w:val="none"/>
          <w:lang w:val="en-US" w:eastAsia="zh-CN"/>
        </w:rPr>
        <w:t>做好固体废弃物收集、分类处理和综合利用工作。</w:t>
      </w:r>
      <w:r>
        <w:rPr>
          <w:rFonts w:hint="eastAsia" w:ascii="仿宋" w:hAnsi="仿宋" w:eastAsia="仿宋" w:cs="Times New Roman"/>
          <w:sz w:val="32"/>
          <w:highlight w:val="none"/>
          <w:lang w:val="en-US" w:eastAsia="zh-CN"/>
        </w:rPr>
        <w:t>污泥压滤泥饼须委外处理</w:t>
      </w:r>
      <w:r>
        <w:rPr>
          <w:rFonts w:hint="default" w:ascii="仿宋" w:hAnsi="仿宋" w:eastAsia="仿宋" w:cs="Times New Roman"/>
          <w:sz w:val="32"/>
          <w:highlight w:val="none"/>
          <w:lang w:val="en-US" w:eastAsia="zh-CN"/>
        </w:rPr>
        <w:t>，其在厂内暂存场所须符合《一般工业固体废物贮存和填埋污染控制标准》（GB18599-2020）要求；</w:t>
      </w:r>
      <w:r>
        <w:rPr>
          <w:rFonts w:hint="eastAsia" w:ascii="仿宋" w:hAnsi="仿宋" w:eastAsia="仿宋" w:cs="Times New Roman"/>
          <w:sz w:val="32"/>
          <w:highlight w:val="none"/>
          <w:lang w:val="en-US" w:eastAsia="zh-CN"/>
        </w:rPr>
        <w:t>废机油、废含油抹布</w:t>
      </w:r>
      <w:r>
        <w:rPr>
          <w:rFonts w:hint="default" w:ascii="仿宋" w:hAnsi="仿宋" w:eastAsia="仿宋" w:cs="Times New Roman"/>
          <w:sz w:val="32"/>
          <w:highlight w:val="none"/>
          <w:lang w:val="en-US" w:eastAsia="zh-CN"/>
        </w:rPr>
        <w:t>等危险废物须交由有资质单位处理，其在厂内暂存应符合《危险废物贮存污染控制标准》（GB18597-2001）及2013年修改单的有关规定和要求；生活垃圾由环卫部门统一清运处理。</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eastAsia="zh-CN"/>
        </w:rPr>
      </w:pPr>
      <w:r>
        <w:rPr>
          <w:rFonts w:hint="eastAsia" w:ascii="仿宋" w:hAnsi="仿宋" w:eastAsia="仿宋" w:cs="Times New Roman"/>
          <w:sz w:val="32"/>
          <w:highlight w:val="none"/>
          <w:lang w:eastAsia="zh-CN"/>
        </w:rPr>
        <w:t>五、项目须严格按照环境影响评价文件内容及批复进行建设。今后，建设项目的性质、规模、地点、采用的生产工艺或者防治污染、防止生态破坏的措施发生重大变动的，建设单位应当重新报批。</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eastAsia="zh-CN"/>
        </w:rPr>
      </w:pPr>
      <w:r>
        <w:rPr>
          <w:rFonts w:hint="eastAsia" w:ascii="仿宋" w:hAnsi="仿宋" w:eastAsia="仿宋" w:cs="Times New Roman"/>
          <w:sz w:val="32"/>
          <w:highlight w:val="none"/>
          <w:lang w:eastAsia="zh-CN"/>
        </w:rPr>
        <w:t>六、本批复自批准之日起满5年，建设项目方开工建设的，其环境影响评价文件应当报原审批部门重新审核。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eastAsia="zh-CN"/>
        </w:rPr>
      </w:pPr>
      <w:r>
        <w:rPr>
          <w:rFonts w:hint="eastAsia" w:ascii="仿宋" w:hAnsi="仿宋" w:eastAsia="仿宋" w:cs="Times New Roman"/>
          <w:sz w:val="32"/>
          <w:highlight w:val="none"/>
          <w:lang w:eastAsia="zh-CN"/>
        </w:rPr>
        <w:t>七、本批复作为该项目选址和报建的依据。项目竣工后，须按相关规定自行开展环保竣工验收并将竣工验收相关材料报送我局备案。备案完成后，项目方可正式投产。</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eastAsia="zh-CN"/>
        </w:rPr>
      </w:pP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eastAsia="zh-CN"/>
        </w:rPr>
      </w:pPr>
      <w:r>
        <w:rPr>
          <w:rFonts w:hint="eastAsia" w:ascii="仿宋" w:hAnsi="仿宋" w:eastAsia="仿宋" w:cs="Times New Roman"/>
          <w:sz w:val="32"/>
          <w:highlight w:val="none"/>
          <w:lang w:eastAsia="zh-CN"/>
        </w:rPr>
        <w:t xml:space="preserve">                      </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hint="eastAsia" w:ascii="仿宋" w:hAnsi="仿宋" w:eastAsia="仿宋" w:cs="Times New Roman"/>
          <w:sz w:val="32"/>
          <w:highlight w:val="none"/>
          <w:lang w:eastAsia="zh-CN"/>
        </w:rPr>
      </w:pPr>
      <w:r>
        <w:rPr>
          <w:rFonts w:hint="eastAsia" w:ascii="仿宋" w:hAnsi="仿宋" w:eastAsia="仿宋" w:cs="Times New Roman"/>
          <w:sz w:val="32"/>
          <w:highlight w:val="none"/>
          <w:lang w:eastAsia="zh-CN"/>
        </w:rPr>
        <w:t xml:space="preserve">       </w:t>
      </w:r>
    </w:p>
    <w:p>
      <w:pPr>
        <w:keepNext w:val="0"/>
        <w:keepLines w:val="0"/>
        <w:pageBreakBefore w:val="0"/>
        <w:widowControl w:val="0"/>
        <w:kinsoku/>
        <w:wordWrap/>
        <w:overflowPunct/>
        <w:topLinePunct w:val="0"/>
        <w:autoSpaceDE/>
        <w:autoSpaceDN/>
        <w:bidi w:val="0"/>
        <w:adjustRightInd/>
        <w:spacing w:line="240" w:lineRule="auto"/>
        <w:ind w:firstLine="639"/>
        <w:jc w:val="right"/>
        <w:textAlignment w:val="baseline"/>
        <w:rPr>
          <w:rFonts w:hint="eastAsia" w:ascii="仿宋" w:hAnsi="仿宋" w:eastAsia="仿宋" w:cs="Times New Roman"/>
          <w:sz w:val="32"/>
          <w:highlight w:val="none"/>
          <w:lang w:eastAsia="zh-CN"/>
        </w:rPr>
      </w:pPr>
      <w:r>
        <w:rPr>
          <w:rFonts w:hint="eastAsia" w:ascii="仿宋" w:hAnsi="仿宋" w:eastAsia="仿宋" w:cs="Times New Roman"/>
          <w:sz w:val="32"/>
          <w:highlight w:val="none"/>
          <w:lang w:eastAsia="zh-CN"/>
        </w:rPr>
        <w:t>河源市生态环境局龙川分局</w:t>
      </w:r>
    </w:p>
    <w:p>
      <w:pPr>
        <w:keepNext w:val="0"/>
        <w:keepLines w:val="0"/>
        <w:pageBreakBefore w:val="0"/>
        <w:widowControl w:val="0"/>
        <w:kinsoku/>
        <w:wordWrap/>
        <w:overflowPunct/>
        <w:topLinePunct w:val="0"/>
        <w:autoSpaceDE/>
        <w:autoSpaceDN/>
        <w:bidi w:val="0"/>
        <w:adjustRightInd/>
        <w:spacing w:line="240" w:lineRule="auto"/>
        <w:ind w:firstLine="639"/>
        <w:jc w:val="center"/>
        <w:textAlignment w:val="baseline"/>
        <w:rPr>
          <w:rFonts w:hint="eastAsia" w:ascii="仿宋" w:hAnsi="仿宋" w:eastAsia="仿宋" w:cs="Times New Roman"/>
          <w:sz w:val="32"/>
          <w:highlight w:val="none"/>
          <w:lang w:val="en-US" w:eastAsia="zh-CN"/>
        </w:rPr>
      </w:pPr>
      <w:r>
        <w:rPr>
          <w:rFonts w:hint="eastAsia" w:ascii="仿宋" w:hAnsi="仿宋" w:eastAsia="仿宋" w:cs="Times New Roman"/>
          <w:sz w:val="32"/>
          <w:highlight w:val="none"/>
          <w:lang w:val="en-US" w:eastAsia="zh-CN"/>
        </w:rPr>
        <w:t xml:space="preserve">                              </w:t>
      </w:r>
      <w:r>
        <w:rPr>
          <w:rFonts w:hint="eastAsia" w:ascii="仿宋" w:hAnsi="仿宋" w:eastAsia="仿宋" w:cs="Times New Roman"/>
          <w:sz w:val="32"/>
          <w:highlight w:val="none"/>
          <w:lang w:eastAsia="zh-CN"/>
        </w:rPr>
        <w:t>20</w:t>
      </w:r>
      <w:r>
        <w:rPr>
          <w:rFonts w:hint="eastAsia" w:ascii="仿宋" w:hAnsi="仿宋" w:eastAsia="仿宋" w:cs="Times New Roman"/>
          <w:sz w:val="32"/>
          <w:highlight w:val="none"/>
          <w:lang w:val="en-US" w:eastAsia="zh-CN"/>
        </w:rPr>
        <w:t>22</w:t>
      </w:r>
      <w:r>
        <w:rPr>
          <w:rFonts w:hint="eastAsia" w:ascii="仿宋" w:hAnsi="仿宋" w:eastAsia="仿宋" w:cs="Times New Roman"/>
          <w:sz w:val="32"/>
          <w:highlight w:val="none"/>
          <w:lang w:eastAsia="zh-CN"/>
        </w:rPr>
        <w:t>年</w:t>
      </w:r>
      <w:r>
        <w:rPr>
          <w:rFonts w:hint="eastAsia" w:ascii="仿宋" w:hAnsi="仿宋" w:eastAsia="仿宋" w:cs="Times New Roman"/>
          <w:sz w:val="32"/>
          <w:highlight w:val="none"/>
          <w:lang w:val="en-US" w:eastAsia="zh-CN"/>
        </w:rPr>
        <w:t>10月19</w:t>
      </w:r>
      <w:bookmarkStart w:id="0" w:name="_GoBack"/>
      <w:bookmarkEnd w:id="0"/>
      <w:r>
        <w:rPr>
          <w:rFonts w:hint="eastAsia" w:ascii="仿宋" w:hAnsi="仿宋" w:eastAsia="仿宋" w:cs="Times New Roman"/>
          <w:sz w:val="32"/>
          <w:highlight w:val="none"/>
          <w:lang w:eastAsia="zh-CN"/>
        </w:rPr>
        <w:t>日</w:t>
      </w:r>
      <w:r>
        <w:rPr>
          <w:rFonts w:hint="eastAsia" w:ascii="仿宋" w:hAnsi="仿宋" w:eastAsia="仿宋" w:cs="Times New Roman"/>
          <w:sz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240" w:lineRule="auto"/>
        <w:ind w:firstLine="639"/>
        <w:jc w:val="center"/>
        <w:textAlignment w:val="baseline"/>
        <w:rPr>
          <w:rFonts w:hint="eastAsia" w:ascii="仿宋" w:hAnsi="仿宋" w:eastAsia="仿宋" w:cs="Times New Roman"/>
          <w:sz w:val="32"/>
          <w:highlight w:val="none"/>
          <w:lang w:val="en-US" w:eastAsia="zh-CN"/>
        </w:rPr>
      </w:pPr>
      <w:r>
        <w:rPr>
          <w:rFonts w:hint="eastAsia" w:ascii="仿宋" w:hAnsi="仿宋" w:eastAsia="仿宋" w:cs="Times New Roman"/>
          <w:sz w:val="32"/>
          <w:highlight w:val="none"/>
          <w:lang w:val="en-US" w:eastAsia="zh-CN"/>
        </w:rPr>
        <w:t xml:space="preserve">    </w:t>
      </w:r>
    </w:p>
    <w:p>
      <w:pPr>
        <w:pStyle w:val="2"/>
        <w:wordWrap/>
        <w:rPr>
          <w:rFonts w:hint="default"/>
          <w:lang w:val="en-US" w:eastAsia="zh-CN"/>
        </w:rPr>
      </w:pPr>
    </w:p>
    <w:tbl>
      <w:tblPr>
        <w:tblStyle w:val="7"/>
        <w:tblW w:w="89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8908" w:type="dxa"/>
            <w:tcBorders>
              <w:top w:val="single" w:color="auto" w:sz="4" w:space="0"/>
              <w:left w:val="nil"/>
              <w:bottom w:val="single" w:color="000000" w:sz="2" w:space="0"/>
              <w:right w:val="nil"/>
            </w:tcBorders>
            <w:noWrap w:val="0"/>
            <w:vAlign w:val="center"/>
          </w:tcPr>
          <w:p>
            <w:pPr>
              <w:keepNext w:val="0"/>
              <w:keepLines w:val="0"/>
              <w:pageBreakBefore w:val="0"/>
              <w:kinsoku/>
              <w:overflowPunct/>
              <w:topLinePunct w:val="0"/>
              <w:autoSpaceDE/>
              <w:autoSpaceDN/>
              <w:bidi w:val="0"/>
              <w:adjustRightInd/>
              <w:spacing w:line="240" w:lineRule="auto"/>
              <w:jc w:val="left"/>
              <w:rPr>
                <w:rFonts w:hint="eastAsia" w:ascii="仿宋" w:hAnsi="仿宋" w:eastAsia="仿宋"/>
                <w:sz w:val="32"/>
                <w:szCs w:val="32"/>
              </w:rPr>
            </w:pPr>
            <w:r>
              <w:rPr>
                <w:rFonts w:hint="eastAsia" w:ascii="仿宋" w:hAnsi="仿宋" w:eastAsia="仿宋"/>
                <w:sz w:val="32"/>
                <w:szCs w:val="32"/>
                <w:u w:val="none" w:color="000000"/>
              </w:rPr>
              <w:t>抄送：市</w:t>
            </w:r>
            <w:r>
              <w:rPr>
                <w:rFonts w:hint="eastAsia" w:ascii="仿宋" w:hAnsi="仿宋" w:eastAsia="仿宋"/>
                <w:sz w:val="32"/>
                <w:szCs w:val="32"/>
                <w:u w:val="none" w:color="000000"/>
                <w:lang w:eastAsia="zh-CN"/>
              </w:rPr>
              <w:t>生态环境</w:t>
            </w:r>
            <w:r>
              <w:rPr>
                <w:rFonts w:hint="eastAsia" w:ascii="仿宋" w:hAnsi="仿宋" w:eastAsia="仿宋"/>
                <w:sz w:val="32"/>
                <w:szCs w:val="32"/>
                <w:u w:val="none" w:color="000000"/>
              </w:rPr>
              <w:t>局，县发改局，</w:t>
            </w:r>
            <w:r>
              <w:rPr>
                <w:rFonts w:hint="eastAsia" w:ascii="仿宋" w:hAnsi="仿宋" w:eastAsia="仿宋"/>
                <w:sz w:val="32"/>
                <w:szCs w:val="32"/>
                <w:u w:val="none" w:color="000000"/>
                <w:lang w:eastAsia="zh-CN"/>
              </w:rPr>
              <w:t>县水务局，深圳市福安环境技术</w:t>
            </w:r>
            <w:r>
              <w:rPr>
                <w:rFonts w:hint="eastAsia" w:ascii="仿宋" w:hAnsi="仿宋" w:eastAsia="仿宋"/>
                <w:sz w:val="32"/>
                <w:szCs w:val="32"/>
                <w:u w:val="none" w:color="000000"/>
              </w:rPr>
              <w:t>有限公司</w:t>
            </w:r>
          </w:p>
        </w:tc>
      </w:tr>
    </w:tbl>
    <w:p/>
    <w:sectPr>
      <w:headerReference r:id="rId3" w:type="default"/>
      <w:footerReference r:id="rId5" w:type="default"/>
      <w:headerReference r:id="rId4" w:type="even"/>
      <w:footerReference r:id="rId6" w:type="even"/>
      <w:endnotePr>
        <w:numFmt w:val="decimal"/>
      </w:endnotePr>
      <w:pgSz w:w="11905" w:h="16837"/>
      <w:pgMar w:top="1440" w:right="1531" w:bottom="1440" w:left="1531" w:header="850"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snapToGrid w:val="0"/>
      <w:spacing w:line="0" w:lineRule="atLeast"/>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0" w:lineRule="atLeast"/>
      <w:textAlignment w:val="baseline"/>
    </w:pPr>
    <w:r>
      <w:pict>
        <v:shape id="_x0000_s1035" o:spid="_x0000_s1035" o:spt="202" type="#_x0000_t202" style="position:absolute;left:0pt;margin-left:79.35pt;margin-top:803.05pt;height:10.45pt;width:445pt;mso-position-horizontal-relative:page;mso-position-vertical-relative:page;z-index:-251648000;mso-width-relative:page;mso-height-relative:page;" filled="f" stroked="f" coordsize="21600,21600">
          <v:path/>
          <v:fill on="f" opacity="0f" focussize="0,0"/>
          <v:stroke on="f" joinstyle="miter"/>
          <v:imagedata o:title=""/>
          <o:lock v:ext="edit"/>
          <v:shadow on="t" color="#A0A0A4" offset="0pt,0pt"/>
          <v:textbox inset="0mm,0mm,0mm,0mm"/>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0" w:lineRule="atLeast"/>
      <w:textAlignment w:val="baseline"/>
    </w:pPr>
    <w:r>
      <w:pict>
        <v:shape id="_x0000_s1030" o:spid="_x0000_s1030" o:spt="202" type="#_x0000_t202" style="position:absolute;left:0pt;margin-left:79.35pt;margin-top:28.3pt;height:10.45pt;width:445pt;mso-position-horizontal-relative:page;mso-position-vertical-relative:page;z-index:-251652096;mso-width-relative:page;mso-height-relative:page;" filled="f" stroked="f" coordsize="21600,21600">
          <v:path/>
          <v:fill on="f" opacity="0f" focussize="0,0"/>
          <v:stroke on="f" joinstyle="miter"/>
          <v:imagedata o:title=""/>
          <o:lock v:ext="edit"/>
          <v:shadow on="t" color="#A0A0A4" offset="0pt,0pt"/>
          <v:textbox inset="0mm,0mm,0mm,0mm"/>
        </v:shape>
      </w:pict>
    </w:r>
    <w:r>
      <w:pict>
        <v:shape id="_x0000_s1031" o:spid="_x0000_s1031" o:spt="202" type="#_x0000_t202" style="position:absolute;left:0pt;margin-left:79.65pt;margin-top:28.3pt;height:68pt;width:487.25pt;mso-position-horizontal-relative:page;mso-position-vertical-relative:page;z-index:-251652096;mso-width-relative:page;mso-height-relative:page;" filled="f" stroked="f" coordsize="21600,21600">
          <v:path/>
          <v:fill on="f" opacity="0f" focussize="0,0"/>
          <v:stroke on="f" joinstyle="miter"/>
          <v:imagedata o:title=""/>
          <o:lock v:ext="edit"/>
          <v:shadow on="t" color="#A0A0A4" offset="0pt,0pt"/>
          <v:textbox inset="2.83456692913386pt,0mm,2.83456692913386pt,2.83456692913386pt">
            <w:txbxContent>
              <w:p>
                <w:pPr>
                  <w:snapToGrid w:val="0"/>
                  <w:spacing w:line="300" w:lineRule="atLeast"/>
                  <w:textAlignment w:val="baseline"/>
                </w:pPr>
              </w:p>
              <w:p>
                <w:pPr>
                  <w:snapToGrid w:val="0"/>
                  <w:spacing w:line="277" w:lineRule="atLeast"/>
                  <w:textAlignment w:val="baseline"/>
                </w:pPr>
              </w:p>
            </w:txbxContent>
          </v:textbox>
        </v:shape>
      </w:pict>
    </w:r>
    <w:r>
      <w:pict>
        <v:shape id="_x0000_s1032" o:spid="_x0000_s1032" o:spt="202" type="#_x0000_t202" style="position:absolute;left:0pt;margin-left:79.65pt;margin-top:803.05pt;height:14.15pt;width:487.25pt;mso-position-horizontal-relative:page;mso-position-vertical-relative:page;z-index:-251651072;mso-width-relative:page;mso-height-relative:page;" filled="f" stroked="f" coordsize="21600,21600">
          <v:path/>
          <v:fill on="f" opacity="0f" focussize="0,0"/>
          <v:stroke on="f" joinstyle="miter"/>
          <v:imagedata o:title=""/>
          <o:lock v:ext="edit"/>
          <v:shadow on="t" color="#A0A0A4" offset="0pt,0pt"/>
          <v:textbox inset="2.83456692913386pt,0mm,2.83456692913386pt,1.41724409448819pt">
            <w:txbxContent>
              <w:p>
                <w:pPr>
                  <w:snapToGrid w:val="0"/>
                  <w:spacing w:line="300" w:lineRule="atLeast"/>
                  <w:jc w:val="right"/>
                  <w:textAlignment w:val="baseline"/>
                </w:pPr>
                <w:r>
                  <w:fldChar w:fldCharType="begin"/>
                </w:r>
                <w:r>
                  <w:instrText xml:space="preserve"> PAGE </w:instrText>
                </w:r>
                <w:r>
                  <w:fldChar w:fldCharType="separate"/>
                </w:r>
                <w:r>
                  <w:t>1</w:t>
                </w:r>
                <w:r>
                  <w:fldChar w:fldCharType="end"/>
                </w:r>
              </w:p>
              <w:p>
                <w:pPr>
                  <w:snapToGrid w:val="0"/>
                  <w:spacing w:line="277" w:lineRule="atLeast"/>
                  <w:textAlignment w:val="baseline"/>
                </w:pPr>
              </w:p>
            </w:txbxContent>
          </v:textbox>
        </v:shape>
      </w:pict>
    </w:r>
    <w:r>
      <w:pict>
        <v:shape id="_x0000_s1033" o:spid="_x0000_s1033" o:spt="202" type="#_x0000_t202" style="position:absolute;left:0pt;margin-left:79.65pt;margin-top:28.3pt;height:68pt;width:487.25pt;mso-position-horizontal-relative:page;mso-position-vertical-relative:page;z-index:-251650048;mso-width-relative:page;mso-height-relative:page;" filled="f" stroked="f" coordsize="21600,21600">
          <v:path/>
          <v:fill on="f" opacity="0f" focussize="0,0"/>
          <v:stroke on="f" joinstyle="miter"/>
          <v:imagedata o:title=""/>
          <o:lock v:ext="edit"/>
          <v:shadow on="t" color="#A0A0A4" offset="0pt,0pt"/>
          <v:textbox inset="2.83456692913386pt,0mm,2.83456692913386pt,2.83456692913386pt">
            <w:txbxContent>
              <w:p>
                <w:pPr>
                  <w:snapToGrid w:val="0"/>
                  <w:spacing w:line="300" w:lineRule="atLeast"/>
                  <w:textAlignment w:val="baseline"/>
                </w:pPr>
              </w:p>
              <w:p>
                <w:pPr>
                  <w:snapToGrid w:val="0"/>
                  <w:spacing w:line="277" w:lineRule="atLeast"/>
                  <w:textAlignment w:val="baseline"/>
                </w:pPr>
              </w:p>
            </w:txbxContent>
          </v:textbox>
        </v:shape>
      </w:pict>
    </w:r>
    <w:r>
      <w:pict>
        <v:shape id="_x0000_s1034" o:spid="_x0000_s1034" o:spt="202" type="#_x0000_t202" style="position:absolute;left:0pt;margin-left:79.65pt;margin-top:803.05pt;height:14.15pt;width:487.25pt;mso-position-horizontal-relative:page;mso-position-vertical-relative:page;z-index:-251649024;mso-width-relative:page;mso-height-relative:page;" filled="f" stroked="f" coordsize="21600,21600">
          <v:path/>
          <v:fill on="f" focussize="0,0"/>
          <v:stroke on="f"/>
          <v:imagedata o:title=""/>
          <o:lock v:ext="edit" aspectratio="f"/>
          <v:shadow on="t" obscured="f" color="#A0A0A4" opacity="65536f" offset="0pt,0pt" offset2="0pt,0pt" origin="0f,0f" matrix="65536f,0f,0f,65536f,0,0"/>
          <v:textbox inset="2.83456692913386pt,0mm,2.83456692913386pt,1.41724409448819pt">
            <w:txbxContent>
              <w:p>
                <w:pPr>
                  <w:snapToGrid w:val="0"/>
                  <w:spacing w:line="277" w:lineRule="atLeast"/>
                  <w:textAlignment w:val="baseline"/>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0" w:lineRule="atLeast"/>
      <w:textAlignment w:val="baseline"/>
    </w:pPr>
    <w:r>
      <w:pict>
        <v:shape id="_x0000_s1025" o:spid="_x0000_s1025" o:spt="202" type="#_x0000_t202" style="position:absolute;left:0pt;margin-left:79.35pt;margin-top:28.3pt;height:10.45pt;width:445pt;mso-position-horizontal-relative:page;mso-position-vertical-relative:page;z-index:-251657216;mso-width-relative:page;mso-height-relative:page;" filled="f" stroked="f" coordsize="21600,21600">
          <v:path/>
          <v:fill on="f" opacity="0f" focussize="0,0"/>
          <v:stroke on="f" joinstyle="miter"/>
          <v:imagedata o:title=""/>
          <o:lock v:ext="edit"/>
          <v:shadow on="t" color="#A0A0A4" offset="0pt,0pt"/>
          <v:textbox inset="0mm,0mm,0mm,0mm"/>
        </v:shape>
      </w:pict>
    </w:r>
    <w:r>
      <w:pict>
        <v:shape id="_x0000_s1026" o:spid="_x0000_s1026" o:spt="202" type="#_x0000_t202" style="position:absolute;left:0pt;margin-left:79.65pt;margin-top:28.3pt;height:68pt;width:487.25pt;mso-position-horizontal-relative:page;mso-position-vertical-relative:page;z-index:-251656192;mso-width-relative:page;mso-height-relative:page;" filled="f" stroked="f" coordsize="21600,21600">
          <v:path/>
          <v:fill on="f" opacity="0f" focussize="0,0"/>
          <v:stroke on="f" joinstyle="miter"/>
          <v:imagedata o:title=""/>
          <o:lock v:ext="edit"/>
          <v:shadow on="t" color="#A0A0A4" offset="0pt,0pt"/>
          <v:textbox inset="2.83456692913386pt,0mm,2.83456692913386pt,2.83456692913386pt">
            <w:txbxContent>
              <w:p>
                <w:pPr>
                  <w:snapToGrid w:val="0"/>
                  <w:spacing w:line="300" w:lineRule="atLeast"/>
                  <w:textAlignment w:val="baseline"/>
                </w:pPr>
              </w:p>
              <w:p>
                <w:pPr>
                  <w:snapToGrid w:val="0"/>
                  <w:spacing w:line="277" w:lineRule="atLeast"/>
                  <w:textAlignment w:val="baseline"/>
                </w:pPr>
              </w:p>
            </w:txbxContent>
          </v:textbox>
        </v:shape>
      </w:pict>
    </w:r>
    <w:r>
      <w:pict>
        <v:shape id="_x0000_s1027" o:spid="_x0000_s1027" o:spt="202" type="#_x0000_t202" style="position:absolute;left:0pt;margin-left:79.65pt;margin-top:803.05pt;height:14.15pt;width:487.25pt;mso-position-horizontal-relative:page;mso-position-vertical-relative:page;z-index:-251655168;mso-width-relative:page;mso-height-relative:page;" filled="f" stroked="f" coordsize="21600,21600">
          <v:path/>
          <v:fill on="f" opacity="0f" focussize="0,0"/>
          <v:stroke on="f" joinstyle="miter"/>
          <v:imagedata o:title=""/>
          <o:lock v:ext="edit"/>
          <v:shadow on="t" color="#A0A0A4" offset="0pt,0pt"/>
          <v:textbox inset="2.83456692913386pt,0mm,2.83456692913386pt,1.41724409448819pt">
            <w:txbxContent>
              <w:p>
                <w:pPr>
                  <w:snapToGrid w:val="0"/>
                  <w:spacing w:line="300" w:lineRule="atLeast"/>
                  <w:jc w:val="right"/>
                  <w:textAlignment w:val="baseline"/>
                </w:pPr>
                <w:r>
                  <w:fldChar w:fldCharType="begin"/>
                </w:r>
                <w:r>
                  <w:instrText xml:space="preserve"> PAGE </w:instrText>
                </w:r>
                <w:r>
                  <w:fldChar w:fldCharType="separate"/>
                </w:r>
                <w:r>
                  <w:t>2</w:t>
                </w:r>
                <w:r>
                  <w:fldChar w:fldCharType="end"/>
                </w:r>
              </w:p>
              <w:p>
                <w:pPr>
                  <w:snapToGrid w:val="0"/>
                  <w:spacing w:line="277" w:lineRule="atLeast"/>
                  <w:textAlignment w:val="baseline"/>
                </w:pPr>
              </w:p>
            </w:txbxContent>
          </v:textbox>
        </v:shape>
      </w:pict>
    </w:r>
    <w:r>
      <w:pict>
        <v:shape id="_x0000_s1028" o:spid="_x0000_s1028" o:spt="202" type="#_x0000_t202" style="position:absolute;left:0pt;margin-left:79.65pt;margin-top:28.3pt;height:68pt;width:487.25pt;mso-position-horizontal-relative:page;mso-position-vertical-relative:page;z-index:-251654144;mso-width-relative:page;mso-height-relative:page;" filled="f" stroked="f" coordsize="21600,21600">
          <v:path/>
          <v:fill on="f" opacity="0f" focussize="0,0"/>
          <v:stroke on="f" joinstyle="miter"/>
          <v:imagedata o:title=""/>
          <o:lock v:ext="edit"/>
          <v:shadow on="t" color="#A0A0A4" offset="0pt,0pt"/>
          <v:textbox inset="2.83456692913386pt,0mm,2.83456692913386pt,2.83456692913386pt">
            <w:txbxContent>
              <w:p>
                <w:pPr>
                  <w:snapToGrid w:val="0"/>
                  <w:spacing w:line="300" w:lineRule="atLeast"/>
                  <w:textAlignment w:val="baseline"/>
                </w:pPr>
              </w:p>
              <w:p>
                <w:pPr>
                  <w:snapToGrid w:val="0"/>
                  <w:spacing w:line="277" w:lineRule="atLeast"/>
                  <w:textAlignment w:val="baseline"/>
                </w:pPr>
              </w:p>
            </w:txbxContent>
          </v:textbox>
        </v:shape>
      </w:pict>
    </w:r>
    <w:r>
      <w:pict>
        <v:shape id="_x0000_s1029" o:spid="_x0000_s1029" o:spt="202" type="#_x0000_t202" style="position:absolute;left:0pt;margin-left:79.65pt;margin-top:803.05pt;height:14.15pt;width:487.25pt;mso-position-horizontal-relative:page;mso-position-vertical-relative:page;z-index:-251653120;mso-width-relative:page;mso-height-relative:page;" filled="f" stroked="f" coordsize="21600,21600">
          <v:path/>
          <v:fill on="f" opacity="0f" focussize="0,0"/>
          <v:stroke on="f" joinstyle="miter"/>
          <v:imagedata o:title=""/>
          <o:lock v:ext="edit"/>
          <v:shadow on="t" color="#A0A0A4" offset="0pt,0pt"/>
          <v:textbox inset="2.83456692913386pt,0mm,2.83456692913386pt,1.41724409448819pt">
            <w:txbxContent>
              <w:p>
                <w:pPr>
                  <w:snapToGrid w:val="0"/>
                  <w:spacing w:line="300" w:lineRule="atLeast"/>
                  <w:jc w:val="right"/>
                  <w:textAlignment w:val="baseline"/>
                </w:pPr>
                <w:r>
                  <w:fldChar w:fldCharType="begin"/>
                </w:r>
                <w:r>
                  <w:instrText xml:space="preserve"> PAGE </w:instrText>
                </w:r>
                <w:r>
                  <w:fldChar w:fldCharType="separate"/>
                </w:r>
                <w:r>
                  <w:t>2</w:t>
                </w:r>
                <w:r>
                  <w:fldChar w:fldCharType="end"/>
                </w:r>
              </w:p>
              <w:p>
                <w:pPr>
                  <w:snapToGrid w:val="0"/>
                  <w:spacing w:line="277" w:lineRule="atLeast"/>
                  <w:textAlignment w:val="baseline"/>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wZDI4ZjM5MTc2MzVjNGM1NWVmNGU1OTIwNjlhM2EifQ=="/>
  </w:docVars>
  <w:rsids>
    <w:rsidRoot w:val="00F73CC3"/>
    <w:rsid w:val="0002184D"/>
    <w:rsid w:val="001141C7"/>
    <w:rsid w:val="00124E16"/>
    <w:rsid w:val="002124B1"/>
    <w:rsid w:val="00235C3D"/>
    <w:rsid w:val="00285566"/>
    <w:rsid w:val="002A0536"/>
    <w:rsid w:val="002A5B47"/>
    <w:rsid w:val="003A05E8"/>
    <w:rsid w:val="004C5967"/>
    <w:rsid w:val="0054171D"/>
    <w:rsid w:val="0055249E"/>
    <w:rsid w:val="006044F3"/>
    <w:rsid w:val="006123B7"/>
    <w:rsid w:val="00613CD4"/>
    <w:rsid w:val="00614B01"/>
    <w:rsid w:val="0066418B"/>
    <w:rsid w:val="006E48B5"/>
    <w:rsid w:val="00740A07"/>
    <w:rsid w:val="007E405C"/>
    <w:rsid w:val="00840FC9"/>
    <w:rsid w:val="009D61CB"/>
    <w:rsid w:val="009E5796"/>
    <w:rsid w:val="00A24822"/>
    <w:rsid w:val="00A34EAB"/>
    <w:rsid w:val="00A44F5B"/>
    <w:rsid w:val="00B000D8"/>
    <w:rsid w:val="00B0552E"/>
    <w:rsid w:val="00B32356"/>
    <w:rsid w:val="00C83EC6"/>
    <w:rsid w:val="00C85A88"/>
    <w:rsid w:val="00CD7CB0"/>
    <w:rsid w:val="00D700E9"/>
    <w:rsid w:val="00D937FE"/>
    <w:rsid w:val="00D9733A"/>
    <w:rsid w:val="00DC50B6"/>
    <w:rsid w:val="00E0114E"/>
    <w:rsid w:val="00E308A7"/>
    <w:rsid w:val="00E62DCB"/>
    <w:rsid w:val="00ED1880"/>
    <w:rsid w:val="00EE0EB6"/>
    <w:rsid w:val="00EF78A1"/>
    <w:rsid w:val="00F27F32"/>
    <w:rsid w:val="00F73CC3"/>
    <w:rsid w:val="00FB3666"/>
    <w:rsid w:val="00FE0F3E"/>
    <w:rsid w:val="217A3D47"/>
    <w:rsid w:val="28C12709"/>
    <w:rsid w:val="4B17157A"/>
    <w:rsid w:val="5B75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cs="宋体"/>
      <w:color w:val="000000"/>
      <w:sz w:val="24"/>
      <w:szCs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rFonts w:ascii="Times New Roman" w:hAnsi="Times New Roman" w:eastAsia="宋体" w:cs="Times New Roman"/>
      <w:sz w:val="18"/>
      <w:szCs w:val="18"/>
    </w:rPr>
  </w:style>
  <w:style w:type="character" w:customStyle="1" w:styleId="10">
    <w:name w:val="页脚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Info spid="_x0000_s1034"/>
    <customShpInfo spid="_x0000_s1025"/>
    <customShpInfo spid="_x0000_s1026"/>
    <customShpInfo spid="_x0000_s1027"/>
    <customShpInfo spid="_x0000_s1028"/>
    <customShpInfo spid="_x0000_s1029"/>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lchb</Company>
  <Pages>3</Pages>
  <Words>1200</Words>
  <Characters>1301</Characters>
  <Lines>8</Lines>
  <Paragraphs>2</Paragraphs>
  <TotalTime>20</TotalTime>
  <ScaleCrop>false</ScaleCrop>
  <LinksUpToDate>false</LinksUpToDate>
  <CharactersWithSpaces>1370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2011-09-28T07:39:00Z</dcterms:created>
  <dc:creator>Administrator</dc:creator>
  <cp:lastModifiedBy>Administrator</cp:lastModifiedBy>
  <cp:lastPrinted>2022-10-20T02:07:00Z</cp:lastPrinted>
  <dcterms:modified xsi:type="dcterms:W3CDTF">2022-10-20T03:06:29Z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A9519643BFBD45F08C8518DAAC3C604A</vt:lpwstr>
  </property>
</Properties>
</file>