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atLeast"/>
        <w:jc w:val="center"/>
        <w:textAlignment w:val="baseline"/>
        <w:rPr>
          <w:rFonts w:ascii="仿宋" w:hAnsi="仿宋" w:eastAsia="仿宋"/>
        </w:rPr>
      </w:pPr>
    </w:p>
    <w:p>
      <w:pPr>
        <w:snapToGrid w:val="0"/>
        <w:spacing w:line="572" w:lineRule="atLeast"/>
        <w:jc w:val="center"/>
        <w:textAlignment w:val="baseline"/>
        <w:rPr>
          <w:rFonts w:ascii="仿宋" w:hAnsi="仿宋" w:eastAsia="仿宋"/>
        </w:rPr>
      </w:pPr>
    </w:p>
    <w:p>
      <w:pPr>
        <w:snapToGrid w:val="0"/>
        <w:spacing w:line="572" w:lineRule="atLeast"/>
        <w:jc w:val="center"/>
        <w:textAlignment w:val="baseline"/>
        <w:rPr>
          <w:rFonts w:ascii="仿宋" w:hAnsi="仿宋" w:eastAsia="仿宋"/>
        </w:rPr>
      </w:pPr>
    </w:p>
    <w:p>
      <w:pPr>
        <w:snapToGrid w:val="0"/>
        <w:spacing w:line="572" w:lineRule="atLeast"/>
        <w:textAlignment w:val="baseline"/>
        <w:rPr>
          <w:rFonts w:hint="eastAsia" w:ascii="仿宋" w:hAnsi="仿宋" w:eastAsia="仿宋"/>
          <w:sz w:val="31"/>
          <w:lang w:eastAsia="zh-CN"/>
        </w:rPr>
      </w:pPr>
    </w:p>
    <w:p>
      <w:pPr>
        <w:pStyle w:val="2"/>
        <w:rPr>
          <w:rFonts w:ascii="仿宋" w:hAnsi="仿宋" w:eastAsia="仿宋"/>
          <w:sz w:val="31"/>
        </w:rPr>
      </w:pP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ascii="仿宋" w:hAnsi="仿宋" w:eastAsia="仿宋"/>
          <w:sz w:val="3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仿宋" w:hAnsi="仿宋" w:eastAsia="仿宋"/>
          <w:sz w:val="32"/>
          <w:szCs w:val="32"/>
        </w:rPr>
      </w:pPr>
      <w:r>
        <w:rPr>
          <w:rFonts w:ascii="仿宋" w:hAnsi="仿宋" w:eastAsia="仿宋"/>
          <w:sz w:val="32"/>
          <w:szCs w:val="32"/>
        </w:rPr>
        <w:t>龙环</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35</w:t>
      </w:r>
      <w:r>
        <w:rPr>
          <w:rFonts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ascii="仿宋" w:hAnsi="仿宋" w:eastAsia="仿宋"/>
          <w:b/>
          <w:sz w:val="44"/>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baseline"/>
        <w:rPr>
          <w:rFonts w:hint="eastAsia"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关于广州发展龙川龙母二期100MW林光互补项目</w:t>
      </w:r>
      <w:r>
        <w:rPr>
          <w:rStyle w:val="21"/>
          <w:rFonts w:hint="eastAsia" w:ascii="方正小标宋_GBK" w:hAnsi="方正小标宋_GBK" w:eastAsia="方正小标宋_GBK" w:cs="方正小标宋_GBK"/>
          <w:b w:val="0"/>
          <w:bCs/>
        </w:rPr>
        <w:t>环境影响报告表的批复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龙川穗发新能源有限公司：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报送的《广州发展龙川龙母二期100MW林光互补项目环境影响报告表》及报批申请收悉。根据《中华人民共和国环境影响评价法》、国务院《建设项目环境保护管理条例》和《广东省建设项目环境保护管理条例》的有</w:t>
      </w:r>
      <w:bookmarkStart w:id="0" w:name="_GoBack"/>
      <w:bookmarkEnd w:id="0"/>
      <w:r>
        <w:rPr>
          <w:rFonts w:hint="eastAsia" w:ascii="仿宋" w:hAnsi="仿宋" w:eastAsia="仿宋" w:cs="仿宋"/>
          <w:sz w:val="32"/>
          <w:szCs w:val="32"/>
        </w:rPr>
        <w:t>关规定，现批复如下：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sz w:val="32"/>
          <w:szCs w:val="32"/>
        </w:rPr>
        <w:t>项目概况：该</w:t>
      </w:r>
      <w:r>
        <w:rPr>
          <w:rFonts w:hint="eastAsia" w:ascii="仿宋" w:hAnsi="仿宋" w:eastAsia="仿宋" w:cs="仿宋"/>
          <w:sz w:val="32"/>
          <w:szCs w:val="32"/>
          <w:lang w:eastAsia="zh-CN"/>
        </w:rPr>
        <w:t>项目位于</w:t>
      </w:r>
      <w:r>
        <w:rPr>
          <w:rFonts w:hint="eastAsia" w:ascii="仿宋" w:hAnsi="仿宋" w:eastAsia="仿宋" w:cs="仿宋"/>
          <w:color w:val="auto"/>
          <w:kern w:val="2"/>
          <w:sz w:val="32"/>
          <w:szCs w:val="32"/>
          <w:lang w:val="en-US" w:eastAsia="zh-CN" w:bidi="ar"/>
        </w:rPr>
        <w:t>龙川县</w:t>
      </w:r>
      <w:r>
        <w:rPr>
          <w:rFonts w:hint="eastAsia" w:ascii="仿宋" w:hAnsi="仿宋" w:eastAsia="仿宋" w:cs="仿宋"/>
          <w:color w:val="auto"/>
          <w:sz w:val="32"/>
          <w:szCs w:val="32"/>
          <w:u w:val="none"/>
          <w:lang w:bidi="ar"/>
        </w:rPr>
        <w:t>龙母镇小庙村</w:t>
      </w:r>
      <w:r>
        <w:rPr>
          <w:rFonts w:hint="eastAsia" w:ascii="仿宋" w:hAnsi="仿宋" w:eastAsia="仿宋" w:cs="仿宋"/>
          <w:color w:val="auto"/>
          <w:sz w:val="32"/>
          <w:szCs w:val="32"/>
          <w:u w:val="none"/>
          <w:lang w:eastAsia="zh-CN" w:bidi="ar"/>
        </w:rPr>
        <w:t>、大庙村、永光村及周边镇村</w:t>
      </w:r>
      <w:r>
        <w:rPr>
          <w:rFonts w:hint="eastAsia" w:ascii="仿宋" w:hAnsi="仿宋" w:eastAsia="仿宋" w:cs="仿宋"/>
          <w:color w:val="auto"/>
          <w:sz w:val="32"/>
          <w:szCs w:val="32"/>
        </w:rPr>
        <w:t>地区</w:t>
      </w:r>
      <w:r>
        <w:rPr>
          <w:rFonts w:hint="eastAsia" w:ascii="仿宋" w:hAnsi="仿宋" w:eastAsia="仿宋" w:cs="仿宋"/>
          <w:sz w:val="32"/>
          <w:szCs w:val="32"/>
          <w:lang w:eastAsia="zh-CN"/>
        </w:rPr>
        <w:t>，占地面积约1182414平方米，其中光伏发电区占地面积约1169158平方米</w:t>
      </w:r>
      <w:r>
        <w:rPr>
          <w:rFonts w:hint="eastAsia" w:ascii="仿宋" w:hAnsi="仿宋" w:eastAsia="仿宋" w:cs="仿宋"/>
          <w:color w:val="auto"/>
          <w:kern w:val="2"/>
          <w:sz w:val="32"/>
          <w:szCs w:val="32"/>
          <w:lang w:val="en-US" w:eastAsia="zh-CN" w:bidi="ar"/>
        </w:rPr>
        <w:t>，</w:t>
      </w:r>
      <w:r>
        <w:rPr>
          <w:rFonts w:hint="eastAsia" w:ascii="仿宋" w:hAnsi="仿宋" w:eastAsia="仿宋" w:cs="仿宋"/>
          <w:color w:val="auto"/>
          <w:kern w:val="2"/>
          <w:sz w:val="32"/>
          <w:szCs w:val="32"/>
          <w:highlight w:val="none"/>
          <w:lang w:val="en-US" w:eastAsia="zh-CN" w:bidi="ar"/>
        </w:rPr>
        <w:t>采取地面光伏与农业相结合的方式（本环评不涉及种植基地环境影响评价相关内容）。</w:t>
      </w:r>
      <w:r>
        <w:rPr>
          <w:rFonts w:hint="eastAsia" w:ascii="仿宋" w:hAnsi="仿宋" w:eastAsia="仿宋" w:cs="仿宋"/>
          <w:color w:val="auto"/>
          <w:kern w:val="0"/>
          <w:sz w:val="32"/>
          <w:szCs w:val="32"/>
          <w:highlight w:val="none"/>
          <w:lang w:val="en-US" w:eastAsia="zh-CN"/>
        </w:rPr>
        <w:t>项目</w:t>
      </w:r>
      <w:r>
        <w:rPr>
          <w:rFonts w:hint="eastAsia" w:ascii="仿宋" w:hAnsi="仿宋" w:eastAsia="仿宋" w:cs="仿宋"/>
          <w:color w:val="auto"/>
          <w:kern w:val="0"/>
          <w:sz w:val="32"/>
          <w:szCs w:val="32"/>
          <w:highlight w:val="none"/>
        </w:rPr>
        <w:t>总装机容量为</w:t>
      </w:r>
      <w:r>
        <w:rPr>
          <w:rFonts w:hint="eastAsia" w:ascii="仿宋" w:hAnsi="仿宋" w:eastAsia="仿宋" w:cs="仿宋"/>
          <w:color w:val="auto"/>
          <w:kern w:val="0"/>
          <w:sz w:val="32"/>
          <w:szCs w:val="32"/>
          <w:highlight w:val="none"/>
          <w:lang w:val="en-US" w:eastAsia="zh-CN"/>
        </w:rPr>
        <w:t>100M</w:t>
      </w:r>
      <w:r>
        <w:rPr>
          <w:rFonts w:hint="eastAsia" w:ascii="仿宋" w:hAnsi="仿宋" w:eastAsia="仿宋" w:cs="仿宋"/>
          <w:color w:val="auto"/>
          <w:kern w:val="0"/>
          <w:sz w:val="32"/>
          <w:szCs w:val="32"/>
          <w:highlight w:val="none"/>
        </w:rPr>
        <w:t>Wp</w:t>
      </w:r>
      <w:r>
        <w:rPr>
          <w:rFonts w:hint="eastAsia" w:ascii="仿宋" w:hAnsi="仿宋" w:eastAsia="仿宋" w:cs="仿宋"/>
          <w:color w:val="auto"/>
          <w:kern w:val="0"/>
          <w:sz w:val="32"/>
          <w:szCs w:val="32"/>
          <w:highlight w:val="none"/>
          <w:lang w:eastAsia="zh-CN"/>
        </w:rPr>
        <w:t>，拟</w:t>
      </w:r>
      <w:r>
        <w:rPr>
          <w:rFonts w:hint="eastAsia" w:ascii="仿宋" w:hAnsi="仿宋" w:eastAsia="仿宋" w:cs="仿宋"/>
          <w:color w:val="auto"/>
          <w:kern w:val="0"/>
          <w:sz w:val="32"/>
          <w:szCs w:val="32"/>
          <w:highlight w:val="none"/>
        </w:rPr>
        <w:t>装设</w:t>
      </w:r>
      <w:r>
        <w:rPr>
          <w:rFonts w:hint="eastAsia" w:ascii="仿宋" w:hAnsi="仿宋" w:eastAsia="仿宋" w:cs="仿宋"/>
          <w:color w:val="auto"/>
          <w:kern w:val="0"/>
          <w:sz w:val="32"/>
          <w:szCs w:val="32"/>
          <w:highlight w:val="none"/>
          <w:lang w:val="en-US" w:eastAsia="zh-CN"/>
        </w:rPr>
        <w:t>185770</w:t>
      </w:r>
      <w:r>
        <w:rPr>
          <w:rFonts w:hint="eastAsia" w:ascii="仿宋" w:hAnsi="仿宋" w:eastAsia="仿宋" w:cs="仿宋"/>
          <w:color w:val="auto"/>
          <w:kern w:val="0"/>
          <w:sz w:val="32"/>
          <w:szCs w:val="32"/>
          <w:highlight w:val="none"/>
        </w:rPr>
        <w:t>块540Wp单晶硅光伏组件，共用一期110KV升压站及架空线路，扩建一台 100MVA 主</w:t>
      </w:r>
      <w:r>
        <w:rPr>
          <w:rFonts w:hint="eastAsia" w:ascii="仿宋" w:hAnsi="仿宋" w:eastAsia="仿宋" w:cs="仿宋"/>
          <w:color w:val="auto"/>
          <w:kern w:val="0"/>
          <w:sz w:val="32"/>
          <w:szCs w:val="32"/>
        </w:rPr>
        <w:t>变（升压站电磁辐射影响及输变电线路电磁辐射影响按要求另行委托环境影响评价）</w:t>
      </w:r>
      <w:r>
        <w:rPr>
          <w:rFonts w:hint="eastAsia" w:ascii="仿宋" w:hAnsi="仿宋" w:eastAsia="仿宋" w:cs="仿宋"/>
          <w:color w:val="auto"/>
          <w:kern w:val="0"/>
          <w:sz w:val="32"/>
          <w:szCs w:val="32"/>
          <w:lang w:val="en-US" w:eastAsia="zh-CN"/>
        </w:rPr>
        <w:t>。项目</w:t>
      </w:r>
      <w:r>
        <w:rPr>
          <w:rFonts w:hint="eastAsia" w:ascii="仿宋" w:hAnsi="仿宋" w:eastAsia="仿宋" w:cs="仿宋"/>
          <w:color w:val="auto"/>
          <w:kern w:val="0"/>
          <w:sz w:val="32"/>
          <w:szCs w:val="32"/>
          <w:lang w:eastAsia="zh-CN"/>
        </w:rPr>
        <w:t>总</w:t>
      </w:r>
      <w:r>
        <w:rPr>
          <w:rFonts w:hint="eastAsia" w:ascii="仿宋" w:hAnsi="仿宋" w:eastAsia="仿宋" w:cs="仿宋"/>
          <w:color w:val="auto"/>
          <w:kern w:val="0"/>
          <w:sz w:val="32"/>
          <w:szCs w:val="32"/>
          <w:lang w:val="en-US" w:eastAsia="zh-CN"/>
        </w:rPr>
        <w:t>运行25年，首年上网电量约为11448.21万kWh，平均年上网电量约为10747.30万kWh，</w:t>
      </w:r>
      <w:r>
        <w:rPr>
          <w:rFonts w:hint="eastAsia" w:ascii="仿宋" w:hAnsi="仿宋" w:eastAsia="仿宋" w:cs="仿宋"/>
          <w:color w:val="auto"/>
          <w:kern w:val="0"/>
          <w:sz w:val="32"/>
          <w:szCs w:val="32"/>
          <w:lang w:eastAsia="zh-CN"/>
        </w:rPr>
        <w:t>总投资</w:t>
      </w:r>
      <w:r>
        <w:rPr>
          <w:rFonts w:hint="eastAsia" w:ascii="仿宋" w:hAnsi="仿宋" w:eastAsia="仿宋" w:cs="仿宋"/>
          <w:color w:val="auto"/>
          <w:kern w:val="0"/>
          <w:sz w:val="32"/>
          <w:szCs w:val="32"/>
          <w:lang w:val="en-US" w:eastAsia="zh-CN"/>
        </w:rPr>
        <w:t>42289.9</w:t>
      </w:r>
      <w:r>
        <w:rPr>
          <w:rFonts w:hint="eastAsia" w:ascii="仿宋" w:hAnsi="仿宋" w:eastAsia="仿宋" w:cs="仿宋"/>
          <w:color w:val="auto"/>
          <w:kern w:val="0"/>
          <w:sz w:val="32"/>
          <w:szCs w:val="32"/>
          <w:lang w:eastAsia="zh-CN"/>
        </w:rPr>
        <w:t>万元</w:t>
      </w:r>
      <w:r>
        <w:rPr>
          <w:rFonts w:hint="eastAsia" w:ascii="仿宋" w:hAnsi="仿宋" w:eastAsia="仿宋" w:cs="仿宋"/>
          <w:color w:val="auto"/>
          <w:kern w:val="0"/>
          <w:sz w:val="32"/>
          <w:szCs w:val="32"/>
          <w:highlight w:val="none"/>
          <w:lang w:eastAsia="zh-CN"/>
        </w:rPr>
        <w:t>，新增运维</w:t>
      </w:r>
      <w:r>
        <w:rPr>
          <w:rFonts w:hint="eastAsia" w:ascii="仿宋" w:hAnsi="仿宋" w:eastAsia="仿宋" w:cs="仿宋"/>
          <w:color w:val="auto"/>
          <w:kern w:val="0"/>
          <w:sz w:val="32"/>
          <w:szCs w:val="32"/>
          <w:highlight w:val="none"/>
        </w:rPr>
        <w:t>人员</w:t>
      </w:r>
      <w:r>
        <w:rPr>
          <w:rFonts w:hint="eastAsia" w:ascii="仿宋" w:hAnsi="仿宋" w:eastAsia="仿宋" w:cs="仿宋"/>
          <w:color w:val="auto"/>
          <w:kern w:val="0"/>
          <w:sz w:val="32"/>
          <w:szCs w:val="32"/>
          <w:highlight w:val="none"/>
          <w:lang w:val="en-US" w:eastAsia="zh-CN"/>
        </w:rPr>
        <w:t>10</w:t>
      </w:r>
      <w:r>
        <w:rPr>
          <w:rFonts w:hint="eastAsia" w:ascii="仿宋" w:hAnsi="仿宋" w:eastAsia="仿宋" w:cs="仿宋"/>
          <w:color w:val="auto"/>
          <w:kern w:val="0"/>
          <w:sz w:val="32"/>
          <w:szCs w:val="32"/>
          <w:highlight w:val="none"/>
        </w:rPr>
        <w:t>人，依托升压站食宿，年工作365天</w:t>
      </w:r>
      <w:r>
        <w:rPr>
          <w:rFonts w:hint="eastAsia" w:ascii="仿宋" w:hAnsi="仿宋" w:eastAsia="仿宋" w:cs="仿宋"/>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二、根据报告表的评价结论，原则同意该项目建设。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三、总量控制指标：项目不安排废水、废气主要污染物总量排放指标。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四、必须按照环境影响报告表中提出的污染防治措施，在建设及运营过程中抓好落实，并重点做好如下工作：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1.做好施工期的环境污染防治措施。项目应优选施工期环境保护方案，加强施工期环境管理，施工噪声防治应严格执行《噪声污染防治法》的相关规定，同时须做好施工废水、扬尘和工程废弃物的收集处理</w:t>
      </w:r>
      <w:r>
        <w:rPr>
          <w:rFonts w:hint="eastAsia" w:ascii="仿宋" w:hAnsi="仿宋" w:eastAsia="仿宋" w:cs="仿宋"/>
          <w:color w:val="auto"/>
          <w:spacing w:val="0"/>
          <w:sz w:val="32"/>
          <w:szCs w:val="32"/>
          <w:lang w:eastAsia="zh-CN"/>
        </w:rPr>
        <w:t>。</w:t>
      </w:r>
    </w:p>
    <w:p>
      <w:pPr>
        <w:keepNext w:val="0"/>
        <w:keepLines w:val="0"/>
        <w:pageBreakBefore w:val="0"/>
        <w:widowControl w:val="0"/>
        <w:kinsoku/>
        <w:wordWrap/>
        <w:overflowPunct/>
        <w:topLinePunct w:val="0"/>
        <w:bidi w:val="0"/>
        <w:snapToGrid/>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sz w:val="32"/>
          <w:szCs w:val="32"/>
          <w:lang w:val="en-US" w:eastAsia="zh-CN"/>
        </w:rPr>
        <w:t>2.做好水污染防治工作。</w:t>
      </w:r>
      <w:r>
        <w:rPr>
          <w:rFonts w:hint="eastAsia" w:ascii="仿宋" w:hAnsi="仿宋" w:eastAsia="仿宋" w:cs="仿宋"/>
          <w:color w:val="auto"/>
          <w:sz w:val="32"/>
          <w:szCs w:val="32"/>
          <w:lang w:eastAsia="zh-CN"/>
        </w:rPr>
        <w:t>项目运营期</w:t>
      </w:r>
      <w:r>
        <w:rPr>
          <w:rFonts w:hint="eastAsia" w:ascii="仿宋" w:hAnsi="仿宋" w:eastAsia="仿宋" w:cs="仿宋"/>
          <w:color w:val="auto"/>
          <w:sz w:val="32"/>
          <w:szCs w:val="32"/>
        </w:rPr>
        <w:t>废水</w:t>
      </w:r>
      <w:r>
        <w:rPr>
          <w:rFonts w:hint="eastAsia" w:ascii="仿宋" w:hAnsi="仿宋" w:eastAsia="仿宋" w:cs="仿宋"/>
          <w:color w:val="auto"/>
          <w:sz w:val="32"/>
          <w:szCs w:val="32"/>
          <w:lang w:val="en-US" w:eastAsia="zh-CN"/>
        </w:rPr>
        <w:t>主要为光伏组件清洗废水，须达到</w:t>
      </w:r>
      <w:r>
        <w:rPr>
          <w:rFonts w:hint="eastAsia" w:ascii="仿宋" w:hAnsi="仿宋" w:eastAsia="仿宋" w:cs="仿宋"/>
          <w:color w:val="auto"/>
          <w:sz w:val="32"/>
          <w:szCs w:val="32"/>
        </w:rPr>
        <w:t>《农田灌溉水质标准》（GB5084-2021）旱作标准</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lang w:val="en-US" w:eastAsia="zh-CN"/>
        </w:rPr>
        <w:t>用于用地红线内林下植被或作物灌溉</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snapToGrid/>
        <w:spacing w:line="24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3.做好噪声污染防治工作。项目应选用集装箱型，通过设备消声、减声和箱体、围墙隔声、距离衰减等措施后，确保运营期场界噪声排放达到《工业企业厂界环境噪声排放标准》（GB12348-2008）1类标准。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4.做好固体废弃物收集、分类处理和综合利用工作。废旧</w:t>
      </w:r>
      <w:r>
        <w:rPr>
          <w:rFonts w:hint="eastAsia" w:ascii="仿宋" w:hAnsi="仿宋" w:eastAsia="仿宋" w:cs="仿宋"/>
          <w:color w:val="auto"/>
          <w:kern w:val="2"/>
          <w:sz w:val="32"/>
          <w:szCs w:val="32"/>
        </w:rPr>
        <w:t>单晶硅电池组件</w:t>
      </w:r>
      <w:r>
        <w:rPr>
          <w:rFonts w:hint="eastAsia" w:ascii="仿宋" w:hAnsi="仿宋" w:eastAsia="仿宋" w:cs="仿宋"/>
          <w:color w:val="auto"/>
          <w:sz w:val="32"/>
          <w:szCs w:val="32"/>
        </w:rPr>
        <w:t>直接由设备厂家回收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废变压器油、含油废抹布等危险废物须经收集后交有资质单位处置，</w:t>
      </w:r>
      <w:r>
        <w:rPr>
          <w:rFonts w:hint="eastAsia" w:ascii="仿宋" w:hAnsi="仿宋" w:eastAsia="仿宋" w:cs="仿宋"/>
          <w:sz w:val="32"/>
          <w:szCs w:val="32"/>
          <w:lang w:val="en-US" w:eastAsia="zh-CN"/>
        </w:rPr>
        <w:t>其在项目内暂存场所须符合《危险废物贮存污染控制标准》（GB18597-2001）及2013年修改单的相关要求。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5.做好生态保护措施。项目须采取必要的生态防护和修复措施以降低对生态环境的影响，做好复绿及水土流失保护措施。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6.做好光污染防治措施。项目光伏组件内的晶硅片表面须涂覆防反射涂层，封装玻璃表面须经特殊处理，满足光伏组件反射比为0.11-0.15，降低对周边环境的影响。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五、项目须严格按照环境影响评价文件内容及批复进行建设。今后，项目的规模、地点、采用防治措施等发生重大变动的，应重新报批项目的环境影响评价文件，经审批同意后方可实施。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六、本批复作为该项目选址和报建的依据。项目竣工后，须按相关规定自行开展环保竣工验收并将竣工验收相关材料报送我局备案。备案完成后，项目方可正式投产。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overflowPunct/>
        <w:topLinePunct w:val="0"/>
        <w:bidi w:val="0"/>
        <w:snapToGrid/>
        <w:spacing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河源市生态环境局龙川分局</w:t>
      </w:r>
    </w:p>
    <w:tbl>
      <w:tblPr>
        <w:tblStyle w:val="10"/>
        <w:tblpPr w:leftFromText="180" w:rightFromText="180" w:vertAnchor="text" w:horzAnchor="page" w:tblpX="1529" w:tblpY="2146"/>
        <w:tblOverlap w:val="never"/>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trPr>
        <w:tc>
          <w:tcPr>
            <w:tcW w:w="8908" w:type="dxa"/>
            <w:tcBorders>
              <w:top w:val="single" w:color="auto" w:sz="4" w:space="0"/>
              <w:left w:val="nil"/>
              <w:bottom w:val="single" w:color="000000" w:sz="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抄送：市生态环境局，县发改局，龙母镇人民政府，</w:t>
            </w:r>
            <w:r>
              <w:rPr>
                <w:rFonts w:hint="eastAsia" w:ascii="仿宋" w:hAnsi="仿宋" w:eastAsia="仿宋" w:cs="仿宋"/>
                <w:color w:val="auto"/>
                <w:sz w:val="32"/>
                <w:szCs w:val="32"/>
                <w:lang w:eastAsia="zh-CN"/>
              </w:rPr>
              <w:t>河源市美兰生态环境咨询有限公司</w:t>
            </w:r>
          </w:p>
        </w:tc>
      </w:tr>
    </w:tbl>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2022年12月5日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pStyle w:val="4"/>
        <w:ind w:left="0" w:leftChars="0" w:firstLine="0" w:firstLineChars="0"/>
        <w:rPr>
          <w:rFonts w:hint="eastAsia"/>
          <w:lang w:val="en-US" w:eastAsia="zh-CN"/>
        </w:rPr>
      </w:pPr>
    </w:p>
    <w:p>
      <w:pPr>
        <w:pStyle w:val="2"/>
        <w:rPr>
          <w:rFonts w:hint="eastAsia"/>
          <w:lang w:val="en-US" w:eastAsia="zh-CN"/>
        </w:rPr>
      </w:pPr>
    </w:p>
    <w:sectPr>
      <w:footerReference r:id="rId3" w:type="default"/>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altName w:val="Meiryo UI"/>
    <w:panose1 w:val="02020609040205080304"/>
    <w:charset w:val="80"/>
    <w:family w:val="roma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D2A39"/>
    <w:multiLevelType w:val="singleLevel"/>
    <w:tmpl w:val="478D2A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ZDI4ZjM5MTc2MzVjNGM1NWVmNGU1OTIwNjlhM2EifQ=="/>
  </w:docVars>
  <w:rsids>
    <w:rsidRoot w:val="01E6249F"/>
    <w:rsid w:val="0001072D"/>
    <w:rsid w:val="000E5AA3"/>
    <w:rsid w:val="0040106C"/>
    <w:rsid w:val="00565568"/>
    <w:rsid w:val="00C24B84"/>
    <w:rsid w:val="00C92515"/>
    <w:rsid w:val="01E6249F"/>
    <w:rsid w:val="02D359B8"/>
    <w:rsid w:val="064209DC"/>
    <w:rsid w:val="07F61B10"/>
    <w:rsid w:val="08A22301"/>
    <w:rsid w:val="0B3C0346"/>
    <w:rsid w:val="0C285598"/>
    <w:rsid w:val="0EBE3007"/>
    <w:rsid w:val="10626FBD"/>
    <w:rsid w:val="127D5295"/>
    <w:rsid w:val="15327BD8"/>
    <w:rsid w:val="15FE528C"/>
    <w:rsid w:val="1C54375B"/>
    <w:rsid w:val="1D186606"/>
    <w:rsid w:val="255C6B9F"/>
    <w:rsid w:val="279D0A0B"/>
    <w:rsid w:val="2CDB7C03"/>
    <w:rsid w:val="2D774740"/>
    <w:rsid w:val="2ECA3549"/>
    <w:rsid w:val="34BE4851"/>
    <w:rsid w:val="365D3AE3"/>
    <w:rsid w:val="3A121D88"/>
    <w:rsid w:val="3B6E322D"/>
    <w:rsid w:val="3DC15253"/>
    <w:rsid w:val="3E554F11"/>
    <w:rsid w:val="464866EC"/>
    <w:rsid w:val="46746944"/>
    <w:rsid w:val="468E506F"/>
    <w:rsid w:val="47E75344"/>
    <w:rsid w:val="49680C52"/>
    <w:rsid w:val="4A2472A9"/>
    <w:rsid w:val="4A30233B"/>
    <w:rsid w:val="4CA51342"/>
    <w:rsid w:val="4D3B7DDD"/>
    <w:rsid w:val="4EB508C4"/>
    <w:rsid w:val="4F0628EB"/>
    <w:rsid w:val="50403F1F"/>
    <w:rsid w:val="520E3BB9"/>
    <w:rsid w:val="524D691B"/>
    <w:rsid w:val="53CC4B45"/>
    <w:rsid w:val="54560F83"/>
    <w:rsid w:val="5FE02340"/>
    <w:rsid w:val="639943B8"/>
    <w:rsid w:val="64E42D54"/>
    <w:rsid w:val="66845C41"/>
    <w:rsid w:val="67972184"/>
    <w:rsid w:val="68A56A17"/>
    <w:rsid w:val="69523D87"/>
    <w:rsid w:val="6AE51003"/>
    <w:rsid w:val="6CC161E5"/>
    <w:rsid w:val="6CC20B82"/>
    <w:rsid w:val="6E5B5810"/>
    <w:rsid w:val="6FF05352"/>
    <w:rsid w:val="726E49E7"/>
    <w:rsid w:val="73AA0132"/>
    <w:rsid w:val="7BF5379C"/>
    <w:rsid w:val="7D221872"/>
    <w:rsid w:val="7EA3554B"/>
    <w:rsid w:val="7F3C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hAnsi="Times New Roman" w:cs="宋体"/>
      <w:color w:val="000000"/>
      <w:sz w:val="24"/>
      <w:szCs w:val="24"/>
    </w:rPr>
  </w:style>
  <w:style w:type="paragraph" w:customStyle="1" w:styleId="3">
    <w:name w:val="纯文本1"/>
    <w:basedOn w:val="1"/>
    <w:qFormat/>
    <w:uiPriority w:val="0"/>
    <w:pPr>
      <w:adjustRightInd w:val="0"/>
      <w:textAlignment w:val="baseline"/>
    </w:pPr>
    <w:rPr>
      <w:rFonts w:ascii="宋体" w:hAnsi="Courier New"/>
    </w:rPr>
  </w:style>
  <w:style w:type="paragraph" w:styleId="4">
    <w:name w:val="Normal Indent"/>
    <w:basedOn w:val="1"/>
    <w:qFormat/>
    <w:uiPriority w:val="0"/>
    <w:pPr>
      <w:ind w:firstLine="420"/>
    </w:pPr>
    <w:rPr>
      <w:rFonts w:ascii="宋体" w:hAnsi="Courier New"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FollowedHyperlink"/>
    <w:basedOn w:val="11"/>
    <w:qFormat/>
    <w:uiPriority w:val="0"/>
    <w:rPr>
      <w:color w:val="535353"/>
      <w:u w:val="none"/>
    </w:rPr>
  </w:style>
  <w:style w:type="character" w:styleId="13">
    <w:name w:val="Emphasis"/>
    <w:basedOn w:val="11"/>
    <w:qFormat/>
    <w:uiPriority w:val="0"/>
  </w:style>
  <w:style w:type="character" w:styleId="14">
    <w:name w:val="Hyperlink"/>
    <w:basedOn w:val="11"/>
    <w:qFormat/>
    <w:uiPriority w:val="0"/>
    <w:rPr>
      <w:color w:val="535353"/>
      <w:u w:val="none"/>
    </w:rPr>
  </w:style>
  <w:style w:type="paragraph" w:customStyle="1" w:styleId="15">
    <w:name w:val="样式35"/>
    <w:basedOn w:val="16"/>
    <w:next w:val="20"/>
    <w:qFormat/>
    <w:uiPriority w:val="0"/>
    <w:pPr>
      <w:tabs>
        <w:tab w:val="left" w:pos="0"/>
        <w:tab w:val="left" w:pos="360"/>
        <w:tab w:val="left" w:pos="540"/>
        <w:tab w:val="left" w:pos="567"/>
      </w:tabs>
      <w:adjustRightInd w:val="0"/>
      <w:spacing w:line="312" w:lineRule="auto"/>
      <w:ind w:firstLine="567"/>
    </w:pPr>
    <w:rPr>
      <w:rFonts w:ascii="宋体"/>
      <w:szCs w:val="20"/>
    </w:rPr>
  </w:style>
  <w:style w:type="paragraph" w:customStyle="1" w:styleId="16">
    <w:name w:val="样式26"/>
    <w:basedOn w:val="17"/>
    <w:qFormat/>
    <w:uiPriority w:val="0"/>
    <w:pPr>
      <w:tabs>
        <w:tab w:val="left" w:pos="0"/>
        <w:tab w:val="left" w:pos="360"/>
        <w:tab w:val="left" w:pos="540"/>
        <w:tab w:val="left" w:pos="567"/>
      </w:tabs>
    </w:pPr>
  </w:style>
  <w:style w:type="paragraph" w:customStyle="1" w:styleId="17">
    <w:name w:val="样式21"/>
    <w:basedOn w:val="18"/>
    <w:qFormat/>
    <w:uiPriority w:val="0"/>
    <w:pPr>
      <w:tabs>
        <w:tab w:val="left" w:pos="360"/>
        <w:tab w:val="left" w:pos="567"/>
      </w:tabs>
      <w:spacing w:before="120" w:beforeLines="0" w:after="120" w:afterLines="0"/>
      <w:ind w:hanging="992"/>
    </w:pPr>
  </w:style>
  <w:style w:type="paragraph" w:customStyle="1" w:styleId="18">
    <w:name w:val="样式5"/>
    <w:basedOn w:val="19"/>
    <w:qFormat/>
    <w:uiPriority w:val="0"/>
    <w:pPr>
      <w:tabs>
        <w:tab w:val="left" w:pos="360"/>
        <w:tab w:val="left" w:pos="567"/>
      </w:tabs>
    </w:pPr>
  </w:style>
  <w:style w:type="paragraph" w:customStyle="1" w:styleId="19">
    <w:name w:val="样式12"/>
    <w:basedOn w:val="1"/>
    <w:qFormat/>
    <w:uiPriority w:val="0"/>
    <w:pPr>
      <w:keepNext/>
      <w:keepLines/>
      <w:tabs>
        <w:tab w:val="left" w:pos="360"/>
      </w:tabs>
      <w:spacing w:before="156" w:beforeLines="50" w:after="156" w:afterLines="50" w:line="360" w:lineRule="auto"/>
      <w:ind w:left="567" w:hanging="567"/>
      <w:outlineLvl w:val="1"/>
    </w:pPr>
    <w:rPr>
      <w:rFonts w:eastAsia="MS Mincho"/>
      <w:kern w:val="0"/>
      <w:sz w:val="28"/>
      <w:szCs w:val="28"/>
    </w:rPr>
  </w:style>
  <w:style w:type="paragraph" w:customStyle="1" w:styleId="20">
    <w:name w:val="font6"/>
    <w:basedOn w:val="1"/>
    <w:next w:val="8"/>
    <w:qFormat/>
    <w:uiPriority w:val="0"/>
    <w:pPr>
      <w:widowControl/>
      <w:spacing w:before="280" w:after="280"/>
    </w:pPr>
  </w:style>
  <w:style w:type="character" w:customStyle="1" w:styleId="21">
    <w:name w:val="标题 1字符"/>
    <w:link w:val="5"/>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1187</Words>
  <Characters>1307</Characters>
  <Lines>11</Lines>
  <Paragraphs>3</Paragraphs>
  <TotalTime>3</TotalTime>
  <ScaleCrop>false</ScaleCrop>
  <LinksUpToDate>false</LinksUpToDate>
  <CharactersWithSpaces>1349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2021-06-10T13:30:00Z</dcterms:created>
  <dc:creator>lenovo</dc:creator>
  <cp:lastModifiedBy>Administrator</cp:lastModifiedBy>
  <cp:lastPrinted>2022-12-05T09:05:20Z</cp:lastPrinted>
  <dcterms:modified xsi:type="dcterms:W3CDTF">2022-12-05T09:05:22Z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40174CF73F024F39AADFE018DC980853</vt:lpwstr>
  </property>
</Properties>
</file>