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CEA3FC">
      <w:pPr>
        <w:pStyle w:val="7"/>
        <w:widowControl/>
        <w:spacing w:before="156" w:beforeAutospacing="0" w:after="458" w:afterAutospacing="0" w:line="600" w:lineRule="exact"/>
        <w:jc w:val="center"/>
        <w:rPr>
          <w:rFonts w:hint="eastAsia" w:ascii="黑体" w:hAnsi="黑体" w:eastAsia="黑体" w:cs="黑体"/>
          <w:b/>
          <w:bCs/>
          <w:color w:val="000000" w:themeColor="text1"/>
          <w:sz w:val="44"/>
          <w:szCs w:val="44"/>
          <w:shd w:val="clear" w:color="auto" w:fill="FFFFFF"/>
          <w14:textFill>
            <w14:solidFill>
              <w14:schemeClr w14:val="tx1"/>
            </w14:solidFill>
          </w14:textFill>
        </w:rPr>
      </w:pPr>
    </w:p>
    <w:p w14:paraId="32D5560B">
      <w:pPr>
        <w:pStyle w:val="7"/>
        <w:widowControl/>
        <w:spacing w:before="156" w:beforeAutospacing="0" w:after="458" w:afterAutospacing="0" w:line="600" w:lineRule="exact"/>
        <w:jc w:val="center"/>
        <w:rPr>
          <w:rFonts w:hint="eastAsia" w:ascii="黑体" w:hAnsi="黑体" w:eastAsia="黑体" w:cs="黑体"/>
          <w:b/>
          <w:bCs/>
          <w:color w:val="000000" w:themeColor="text1"/>
          <w:sz w:val="44"/>
          <w:szCs w:val="44"/>
          <w:shd w:val="clear" w:color="auto" w:fill="FFFFFF"/>
          <w14:textFill>
            <w14:solidFill>
              <w14:schemeClr w14:val="tx1"/>
            </w14:solidFill>
          </w14:textFill>
        </w:rPr>
      </w:pPr>
    </w:p>
    <w:p w14:paraId="613FC52D">
      <w:pPr>
        <w:pStyle w:val="7"/>
        <w:widowControl/>
        <w:spacing w:before="156" w:beforeAutospacing="0" w:after="458" w:afterAutospacing="0" w:line="600" w:lineRule="exact"/>
        <w:jc w:val="center"/>
        <w:rPr>
          <w:rFonts w:ascii="Times New Roman" w:hAnsi="Times New Roman" w:eastAsia="方正小标宋简体"/>
          <w:b/>
          <w:bCs/>
          <w:color w:val="000000" w:themeColor="text1"/>
          <w:sz w:val="44"/>
          <w:szCs w:val="44"/>
          <w:shd w:val="clear" w:color="auto" w:fill="FFFFFF"/>
          <w14:textFill>
            <w14:solidFill>
              <w14:schemeClr w14:val="tx1"/>
            </w14:solidFill>
          </w14:textFill>
        </w:rPr>
      </w:pPr>
      <w:r>
        <w:rPr>
          <w:rFonts w:hint="eastAsia" w:ascii="黑体" w:hAnsi="黑体" w:eastAsia="黑体" w:cs="黑体"/>
          <w:b/>
          <w:bCs/>
          <w:color w:val="000000" w:themeColor="text1"/>
          <w:sz w:val="44"/>
          <w:szCs w:val="44"/>
          <w:shd w:val="clear" w:color="auto" w:fill="FFFFFF"/>
          <w14:textFill>
            <w14:solidFill>
              <w14:schemeClr w14:val="tx1"/>
            </w14:solidFill>
          </w14:textFill>
        </w:rPr>
        <w:t>《龙川县丰稔镇国土空间总体规划（2021—2035年）》批后公告</w:t>
      </w:r>
    </w:p>
    <w:p w14:paraId="2D88DC83">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根据《中共中央 国务院关于建立国土空间规划体系并监督实施的若干意见》（中发〔2019〕18 号）、《中共广东省委 广东省人民政府印发〈关于建立国土空间规划体系并监督实施的若干措施〉的通知》（粤发〔2021〕5号）等文件要求，我镇已编制完成《龙川县丰稔镇国土空间总体规划（2021—2035年）》（以下简称《规划》），已经河源市人民政府批准实施，现将规划主要内容公开如下：</w:t>
      </w:r>
    </w:p>
    <w:p w14:paraId="630158EF">
      <w:pPr>
        <w:pStyle w:val="4"/>
        <w:widowControl/>
        <w:spacing w:before="120" w:beforeAutospacing="0" w:after="362" w:afterAutospacing="0" w:line="560" w:lineRule="exact"/>
        <w:ind w:left="643"/>
        <w:jc w:val="both"/>
        <w:rPr>
          <w:rFonts w:hint="default" w:ascii="黑体" w:hAnsi="黑体" w:eastAsia="黑体" w:cs="黑体"/>
          <w:color w:val="000000" w:themeColor="text1"/>
          <w:sz w:val="32"/>
          <w:szCs w:val="32"/>
          <w:shd w:val="clear" w:color="auto" w:fill="FFFFFF"/>
          <w14:textFill>
            <w14:solidFill>
              <w14:schemeClr w14:val="tx1"/>
            </w14:solidFill>
          </w14:textFill>
        </w:rPr>
      </w:pPr>
      <w:bookmarkStart w:id="0" w:name="OLE_LINK2"/>
      <w:r>
        <w:rPr>
          <w:rFonts w:ascii="黑体" w:hAnsi="黑体" w:eastAsia="黑体" w:cs="黑体"/>
          <w:color w:val="000000" w:themeColor="text1"/>
          <w:sz w:val="32"/>
          <w:szCs w:val="32"/>
          <w:shd w:val="clear" w:color="auto" w:fill="FFFFFF"/>
          <w14:textFill>
            <w14:solidFill>
              <w14:schemeClr w14:val="tx1"/>
            </w14:solidFill>
          </w14:textFill>
        </w:rPr>
        <w:t>一、规划范围与期限</w:t>
      </w:r>
      <w:bookmarkEnd w:id="0"/>
    </w:p>
    <w:p w14:paraId="30D3BBBF">
      <w:pPr>
        <w:pStyle w:val="5"/>
        <w:widowControl/>
        <w:spacing w:before="120" w:beforeAutospacing="0" w:after="362" w:afterAutospacing="0" w:line="560" w:lineRule="exact"/>
        <w:ind w:firstLine="643"/>
        <w:jc w:val="both"/>
        <w:rPr>
          <w:rFonts w:hint="default"/>
          <w:color w:val="000000" w:themeColor="text1"/>
          <w14:textFill>
            <w14:solidFill>
              <w14:schemeClr w14:val="tx1"/>
            </w14:solidFill>
          </w14:textFill>
        </w:rPr>
      </w:pPr>
      <w:r>
        <w:rPr>
          <w:rFonts w:ascii="仿宋_GB2312" w:hAnsi="仿宋_GB2312" w:eastAsia="仿宋_GB2312" w:cs="仿宋_GB2312"/>
          <w:color w:val="000000" w:themeColor="text1"/>
          <w:sz w:val="32"/>
          <w:szCs w:val="32"/>
          <w:shd w:val="clear" w:color="auto" w:fill="FFFFFF"/>
          <w14:textFill>
            <w14:solidFill>
              <w14:schemeClr w14:val="tx1"/>
            </w14:solidFill>
          </w14:textFill>
        </w:rPr>
        <w:t>1.规划范围</w:t>
      </w:r>
    </w:p>
    <w:p w14:paraId="13B59FDD">
      <w:pPr>
        <w:pStyle w:val="7"/>
        <w:widowControl/>
        <w:spacing w:beforeAutospacing="0" w:after="300" w:afterAutospacing="0" w:line="560" w:lineRule="exact"/>
        <w:ind w:firstLine="640"/>
        <w:jc w:val="both"/>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本规划国土空间范围包含镇域和镇区两个层次。镇域范围包括丰稔镇行政辖区内全部国土空间，下辖1个社区和15个行政村，面积约133.84平方公里。镇区范围涉及十二排村、成塘村、莲东村、莲风村4个行政村，面积约2.00平方公里。</w:t>
      </w:r>
    </w:p>
    <w:p w14:paraId="438C2745">
      <w:pPr>
        <w:pStyle w:val="5"/>
        <w:widowControl/>
        <w:spacing w:before="120" w:beforeAutospacing="0" w:after="362" w:afterAutospacing="0" w:line="560" w:lineRule="exact"/>
        <w:ind w:firstLine="643"/>
        <w:jc w:val="both"/>
        <w:rPr>
          <w:rFonts w:hint="default"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shd w:val="clear" w:color="auto" w:fill="FFFFFF"/>
          <w14:textFill>
            <w14:solidFill>
              <w14:schemeClr w14:val="tx1"/>
            </w14:solidFill>
          </w14:textFill>
        </w:rPr>
        <w:t>2.规划期限</w:t>
      </w:r>
    </w:p>
    <w:p w14:paraId="29A22503">
      <w:pPr>
        <w:pStyle w:val="7"/>
        <w:widowControl/>
        <w:spacing w:beforeAutospacing="0" w:after="300" w:afterAutospacing="0" w:line="560" w:lineRule="exact"/>
        <w:ind w:firstLine="640"/>
        <w:jc w:val="both"/>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本规划期限为2021—2035年，规划基期年为2020年，规划目标年为2035年，近期至2025年，远景展望至2050年。</w:t>
      </w:r>
    </w:p>
    <w:p w14:paraId="42CD101D">
      <w:pPr>
        <w:pStyle w:val="4"/>
        <w:widowControl/>
        <w:spacing w:before="120" w:beforeAutospacing="0" w:after="362" w:afterAutospacing="0" w:line="560" w:lineRule="exact"/>
        <w:ind w:left="643"/>
        <w:jc w:val="both"/>
        <w:rPr>
          <w:rFonts w:hint="default" w:ascii="黑体" w:hAnsi="黑体" w:eastAsia="黑体" w:cs="黑体"/>
          <w:color w:val="000000" w:themeColor="text1"/>
          <w:sz w:val="32"/>
          <w:szCs w:val="32"/>
          <w:shd w:val="clear" w:color="auto" w:fill="FFFFFF"/>
          <w14:textFill>
            <w14:solidFill>
              <w14:schemeClr w14:val="tx1"/>
            </w14:solidFill>
          </w14:textFill>
        </w:rPr>
      </w:pPr>
      <w:r>
        <w:rPr>
          <w:rFonts w:hint="default" w:ascii="黑体" w:hAnsi="黑体" w:eastAsia="黑体" w:cs="黑体"/>
          <w:color w:val="000000" w:themeColor="text1"/>
          <w:sz w:val="32"/>
          <w:szCs w:val="32"/>
          <w:shd w:val="clear" w:color="auto" w:fill="FFFFFF"/>
          <w14:textFill>
            <w14:solidFill>
              <w14:schemeClr w14:val="tx1"/>
            </w14:solidFill>
          </w14:textFill>
        </w:rPr>
        <w:t>二、发展定位与目标</w:t>
      </w:r>
    </w:p>
    <w:p w14:paraId="2A696028">
      <w:pPr>
        <w:pStyle w:val="5"/>
        <w:widowControl/>
        <w:spacing w:before="120" w:beforeAutospacing="0" w:after="362" w:afterAutospacing="0" w:line="560" w:lineRule="exact"/>
        <w:ind w:firstLine="643"/>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hint="default" w:ascii="Times New Roman" w:hAnsi="Times New Roman" w:eastAsia="仿宋_GB2312"/>
          <w:color w:val="000000" w:themeColor="text1"/>
          <w:sz w:val="32"/>
          <w:szCs w:val="32"/>
          <w:shd w:val="clear" w:color="auto" w:fill="FFFFFF"/>
          <w14:textFill>
            <w14:solidFill>
              <w14:schemeClr w14:val="tx1"/>
            </w14:solidFill>
          </w14:textFill>
        </w:rPr>
        <w:t>1.发展定位</w:t>
      </w:r>
    </w:p>
    <w:p w14:paraId="7109D5F2">
      <w:pPr>
        <w:pStyle w:val="7"/>
        <w:widowControl/>
        <w:spacing w:beforeAutospacing="0" w:after="300" w:afterAutospacing="0" w:line="560" w:lineRule="exact"/>
        <w:ind w:firstLine="640"/>
        <w:jc w:val="both"/>
        <w:rPr>
          <w:rFonts w:ascii="仿宋_GB2312" w:hAnsi="仿宋_GB2312" w:eastAsia="仿宋_GB2312" w:cs="仿宋_GB2312"/>
          <w:color w:val="000000" w:themeColor="text1"/>
          <w:sz w:val="32"/>
          <w:szCs w:val="32"/>
          <w:shd w:val="clear" w:color="auto" w:fill="FFFFFF"/>
          <w14:textFill>
            <w14:solidFill>
              <w14:schemeClr w14:val="tx1"/>
            </w14:solidFill>
          </w14:textFill>
        </w:rPr>
      </w:pP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依托农产品加工基地、冷链物流产业园、省级现代农业产业园等重点项目，建设龙川县特色农产品加工物流集散地</w:t>
      </w:r>
      <w:r>
        <w:rPr>
          <w:rFonts w:hint="eastAsia" w:ascii="仿宋_GB2312" w:hAnsi="仿宋_GB2312" w:eastAsia="仿宋_GB2312" w:cs="仿宋_GB2312"/>
          <w:color w:val="000000" w:themeColor="text1"/>
          <w:sz w:val="32"/>
          <w:szCs w:val="32"/>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聚焦“农文旅”深度融合，建设龙川县城周边城郊乡村休闲旅游目的地。</w:t>
      </w:r>
    </w:p>
    <w:p w14:paraId="0218B743">
      <w:pPr>
        <w:pStyle w:val="5"/>
        <w:widowControl/>
        <w:spacing w:before="120" w:beforeAutospacing="0" w:after="362" w:afterAutospacing="0" w:line="560" w:lineRule="exact"/>
        <w:ind w:firstLine="643"/>
        <w:jc w:val="both"/>
        <w:rPr>
          <w:rFonts w:hint="default" w:ascii="Times New Roman" w:hAnsi="Times New Roman" w:eastAsia="仿宋_GB2312"/>
          <w:color w:val="000000" w:themeColor="text1"/>
          <w:sz w:val="32"/>
          <w:szCs w:val="32"/>
          <w14:textFill>
            <w14:solidFill>
              <w14:schemeClr w14:val="tx1"/>
            </w14:solidFill>
          </w14:textFill>
        </w:rPr>
      </w:pPr>
      <w:r>
        <w:rPr>
          <w:rFonts w:hint="default" w:ascii="Times New Roman" w:hAnsi="Times New Roman" w:eastAsia="仿宋_GB2312"/>
          <w:color w:val="000000" w:themeColor="text1"/>
          <w:sz w:val="32"/>
          <w:szCs w:val="32"/>
          <w:shd w:val="clear" w:color="auto" w:fill="FFFFFF"/>
          <w14:textFill>
            <w14:solidFill>
              <w14:schemeClr w14:val="tx1"/>
            </w14:solidFill>
          </w14:textFill>
        </w:rPr>
        <w:t>2.国土空间开发保护目标</w:t>
      </w:r>
    </w:p>
    <w:p w14:paraId="0DC94BCE">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全面落实上位规划要求，严守空间底线，强化产业支撑，夯实民生基础，彰显地域特色，建设成为经济活力高效、特色文化突出、基础设施完善、环境品质优良的全国优质小城镇。</w:t>
      </w:r>
    </w:p>
    <w:p w14:paraId="049464D2">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严格落实上位规划下达的规划约束性指标，按照耕地和永久基本农田、生态保护红线、城镇开发边界的优先序统筹落实三条控制线，确保三条控制线不交叉不重叠不冲突。至2035年，丰稔镇耕地保护目标不低于16.34平方公里（2.45万亩）；永久基本农田保护面积不低于15.78平方公里（2.37万亩）；生态保护红线面积不低于0.44平方公里（0.066万亩）；城镇开发边界面积不高于0.97平方公里（0.15万亩）。</w:t>
      </w:r>
    </w:p>
    <w:p w14:paraId="2BA72CF9">
      <w:pPr>
        <w:pStyle w:val="4"/>
        <w:widowControl/>
        <w:spacing w:before="120" w:beforeAutospacing="0" w:after="362" w:afterAutospacing="0" w:line="560" w:lineRule="exact"/>
        <w:ind w:left="643"/>
        <w:jc w:val="both"/>
        <w:rPr>
          <w:rFonts w:hint="default" w:ascii="黑体" w:hAnsi="黑体" w:eastAsia="黑体" w:cs="黑体"/>
          <w:color w:val="000000" w:themeColor="text1"/>
          <w:sz w:val="32"/>
          <w:szCs w:val="32"/>
          <w:shd w:val="clear" w:color="auto" w:fill="FFFFFF"/>
          <w14:textFill>
            <w14:solidFill>
              <w14:schemeClr w14:val="tx1"/>
            </w14:solidFill>
          </w14:textFill>
        </w:rPr>
      </w:pPr>
      <w:r>
        <w:rPr>
          <w:rFonts w:hint="default" w:ascii="黑体" w:hAnsi="黑体" w:eastAsia="黑体" w:cs="黑体"/>
          <w:color w:val="000000" w:themeColor="text1"/>
          <w:sz w:val="32"/>
          <w:szCs w:val="32"/>
          <w:shd w:val="clear" w:color="auto" w:fill="FFFFFF"/>
          <w14:textFill>
            <w14:solidFill>
              <w14:schemeClr w14:val="tx1"/>
            </w14:solidFill>
          </w14:textFill>
        </w:rPr>
        <w:t>三、国土空间总体格局</w:t>
      </w:r>
    </w:p>
    <w:p w14:paraId="3E1EF284">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落实区域和县级空间战略，立足自然地理格局、资源禀赋和城镇化发展阶段特征，构建镇域 </w:t>
      </w:r>
      <w:r>
        <w:rPr>
          <w:rFonts w:ascii="Times New Roman" w:hAnsi="Times New Roman" w:eastAsia="仿宋_GB2312"/>
          <w:b/>
          <w:bCs/>
          <w:color w:val="000000" w:themeColor="text1"/>
          <w:sz w:val="32"/>
          <w:szCs w:val="32"/>
          <w:shd w:val="clear" w:color="auto" w:fill="FFFFFF"/>
          <w14:textFill>
            <w14:solidFill>
              <w14:schemeClr w14:val="tx1"/>
            </w14:solidFill>
          </w14:textFill>
        </w:rPr>
        <w:t>“一核三心，一轴五区”</w:t>
      </w:r>
      <w:r>
        <w:rPr>
          <w:rFonts w:ascii="Times New Roman" w:hAnsi="Times New Roman" w:eastAsia="仿宋_GB2312"/>
          <w:color w:val="000000" w:themeColor="text1"/>
          <w:sz w:val="32"/>
          <w:szCs w:val="32"/>
          <w:shd w:val="clear" w:color="auto" w:fill="FFFFFF"/>
          <w14:textFill>
            <w14:solidFill>
              <w14:schemeClr w14:val="tx1"/>
            </w14:solidFill>
          </w14:textFill>
        </w:rPr>
        <w:t> 的开发保护总体格局。</w:t>
      </w:r>
    </w:p>
    <w:p w14:paraId="72B98B9A">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“一核”</w:t>
      </w:r>
      <w:r>
        <w:rPr>
          <w:rFonts w:ascii="Times New Roman" w:hAnsi="Times New Roman" w:eastAsia="仿宋_GB2312"/>
          <w:color w:val="000000" w:themeColor="text1"/>
          <w:sz w:val="32"/>
          <w:szCs w:val="32"/>
          <w:shd w:val="clear" w:color="auto" w:fill="FFFFFF"/>
          <w14:textFill>
            <w14:solidFill>
              <w14:schemeClr w14:val="tx1"/>
            </w14:solidFill>
          </w14:textFill>
        </w:rPr>
        <w:t>：指依托丰稔镇区形成的综合服务核，是丰稔镇域政治、经济、文化中心和综合配套服务的主阵地；</w:t>
      </w:r>
    </w:p>
    <w:p w14:paraId="3C1EA1B8">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“三心”</w:t>
      </w:r>
      <w:r>
        <w:rPr>
          <w:rFonts w:ascii="Times New Roman" w:hAnsi="Times New Roman" w:eastAsia="仿宋_GB2312"/>
          <w:color w:val="000000" w:themeColor="text1"/>
          <w:sz w:val="32"/>
          <w:szCs w:val="32"/>
          <w:shd w:val="clear" w:color="auto" w:fill="FFFFFF"/>
          <w14:textFill>
            <w14:solidFill>
              <w14:schemeClr w14:val="tx1"/>
            </w14:solidFill>
          </w14:textFill>
        </w:rPr>
        <w:t>：包括依托黄岭古村，发展历史人文观光形成的历史人文中心</w:t>
      </w:r>
      <w:r>
        <w:rPr>
          <w:rFonts w:hint="eastAsia" w:ascii="Times New Roman" w:hAnsi="Times New Roman" w:eastAsia="仿宋_GB2312"/>
          <w:color w:val="000000" w:themeColor="text1"/>
          <w:sz w:val="32"/>
          <w:szCs w:val="32"/>
          <w:shd w:val="clear" w:color="auto" w:fill="FFFFFF"/>
          <w:lang w:eastAsia="zh-CN"/>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依托绿誉五色茶岭3A景区，发展农业观光体验的五色茶岭旅游中心</w:t>
      </w:r>
      <w:r>
        <w:rPr>
          <w:rFonts w:hint="eastAsia" w:ascii="Times New Roman" w:hAnsi="Times New Roman" w:eastAsia="仿宋_GB2312"/>
          <w:color w:val="000000" w:themeColor="text1"/>
          <w:sz w:val="32"/>
          <w:szCs w:val="32"/>
          <w:shd w:val="clear" w:color="auto" w:fill="FFFFFF"/>
          <w:lang w:eastAsia="zh-CN"/>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依托丰稔村，打造农产品精深加工示范基地，形成农产品加工中心；</w:t>
      </w:r>
    </w:p>
    <w:p w14:paraId="7176625B">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“一轴”</w:t>
      </w:r>
      <w:r>
        <w:rPr>
          <w:rFonts w:ascii="Times New Roman" w:hAnsi="Times New Roman" w:eastAsia="仿宋_GB2312"/>
          <w:color w:val="000000" w:themeColor="text1"/>
          <w:sz w:val="32"/>
          <w:szCs w:val="32"/>
          <w:shd w:val="clear" w:color="auto" w:fill="FFFFFF"/>
          <w14:textFill>
            <w14:solidFill>
              <w14:schemeClr w14:val="tx1"/>
            </w14:solidFill>
          </w14:textFill>
        </w:rPr>
        <w:t>：指城镇产业发展轴，沿G236国道由西南向东北延伸，作为镇域主要发展脉络，串联主要发展核心；</w:t>
      </w:r>
    </w:p>
    <w:p w14:paraId="03A754D8">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“五区”</w:t>
      </w:r>
      <w:r>
        <w:rPr>
          <w:rFonts w:ascii="Times New Roman" w:hAnsi="Times New Roman" w:eastAsia="仿宋_GB2312"/>
          <w:color w:val="000000" w:themeColor="text1"/>
          <w:sz w:val="32"/>
          <w:szCs w:val="32"/>
          <w:shd w:val="clear" w:color="auto" w:fill="FFFFFF"/>
          <w14:textFill>
            <w14:solidFill>
              <w14:schemeClr w14:val="tx1"/>
            </w14:solidFill>
          </w14:textFill>
        </w:rPr>
        <w:t>：包括以镇区为动力引擎的城乡融合发展区，以丝苗米、油茶、枇杷等为特色的特色农产业种植区，以黄岭古村与五色茶岭为依托的农文旅观光体验区，以丰稔村为核心的农产品加工示范区，以现代化种植技术为主的现代农业功能区。</w:t>
      </w:r>
    </w:p>
    <w:p w14:paraId="429153CD">
      <w:pPr>
        <w:pStyle w:val="4"/>
        <w:widowControl/>
        <w:spacing w:before="120" w:beforeAutospacing="0" w:after="362" w:afterAutospacing="0" w:line="560" w:lineRule="exact"/>
        <w:ind w:left="643"/>
        <w:jc w:val="both"/>
        <w:rPr>
          <w:rFonts w:hint="default" w:ascii="黑体" w:hAnsi="黑体" w:eastAsia="黑体" w:cs="黑体"/>
          <w:color w:val="000000" w:themeColor="text1"/>
          <w:sz w:val="32"/>
          <w:szCs w:val="32"/>
          <w:shd w:val="clear" w:color="auto" w:fill="FFFFFF"/>
          <w14:textFill>
            <w14:solidFill>
              <w14:schemeClr w14:val="tx1"/>
            </w14:solidFill>
          </w14:textFill>
        </w:rPr>
      </w:pPr>
      <w:r>
        <w:rPr>
          <w:rFonts w:hint="default" w:ascii="黑体" w:hAnsi="黑体" w:eastAsia="黑体" w:cs="黑体"/>
          <w:color w:val="000000" w:themeColor="text1"/>
          <w:sz w:val="32"/>
          <w:szCs w:val="32"/>
          <w:shd w:val="clear" w:color="auto" w:fill="FFFFFF"/>
          <w14:textFill>
            <w14:solidFill>
              <w14:schemeClr w14:val="tx1"/>
            </w14:solidFill>
          </w14:textFill>
        </w:rPr>
        <w:t>四、城乡统筹发展与基础设施支撑体系</w:t>
      </w:r>
    </w:p>
    <w:p w14:paraId="0263DCB3">
      <w:pPr>
        <w:pStyle w:val="5"/>
        <w:widowControl/>
        <w:spacing w:before="120" w:beforeAutospacing="0" w:after="362" w:afterAutospacing="0" w:line="560" w:lineRule="exact"/>
        <w:ind w:firstLine="643"/>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hint="default" w:ascii="Times New Roman" w:hAnsi="Times New Roman" w:eastAsia="仿宋_GB2312"/>
          <w:color w:val="000000" w:themeColor="text1"/>
          <w:sz w:val="32"/>
          <w:szCs w:val="32"/>
          <w:shd w:val="clear" w:color="auto" w:fill="FFFFFF"/>
          <w14:textFill>
            <w14:solidFill>
              <w14:schemeClr w14:val="tx1"/>
            </w14:solidFill>
          </w14:textFill>
        </w:rPr>
        <w:t>1.镇村体系</w:t>
      </w:r>
      <w:bookmarkStart w:id="1" w:name="_Toc27847"/>
    </w:p>
    <w:p w14:paraId="1B232FDB">
      <w:pPr>
        <w:pStyle w:val="7"/>
        <w:widowControl/>
        <w:spacing w:beforeAutospacing="0" w:afterAutospacing="0" w:line="560" w:lineRule="exact"/>
        <w:ind w:firstLine="641"/>
        <w:jc w:val="both"/>
        <w:rPr>
          <w:rFonts w:hint="eastAsia" w:ascii="Times New Roman" w:hAnsi="Times New Roman" w:eastAsia="仿宋_GB2312"/>
          <w:color w:val="000000" w:themeColor="text1"/>
          <w:sz w:val="32"/>
          <w:szCs w:val="32"/>
          <w:shd w:val="clear" w:color="auto" w:fill="FFFFFF"/>
          <w:lang w:eastAsia="zh-CN"/>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构建“镇区—中心村—一般村”的三级镇村体系</w:t>
      </w:r>
      <w:bookmarkEnd w:id="1"/>
      <w:r>
        <w:rPr>
          <w:rFonts w:hint="eastAsia" w:ascii="Times New Roman" w:hAnsi="Times New Roman" w:eastAsia="仿宋_GB2312"/>
          <w:color w:val="000000" w:themeColor="text1"/>
          <w:sz w:val="32"/>
          <w:szCs w:val="32"/>
          <w:shd w:val="clear" w:color="auto" w:fill="FFFFFF"/>
          <w:lang w:eastAsia="zh-CN"/>
          <w14:textFill>
            <w14:solidFill>
              <w14:schemeClr w14:val="tx1"/>
            </w14:solidFill>
          </w14:textFill>
        </w:rPr>
        <w:t>。</w:t>
      </w:r>
    </w:p>
    <w:p w14:paraId="171F0CB1">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镇区：包含丰稔镇区（即镇政府驻地）。</w:t>
      </w:r>
    </w:p>
    <w:p w14:paraId="27CA5FB8">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中心村：共5个，包括丰稔村、十二排村、黄岭村、莲东村、成塘村。</w:t>
      </w:r>
    </w:p>
    <w:p w14:paraId="305A51A5">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一般村：共10个，包括左拔村、高坑村、丰联村、名光村、莲风村、排东村、排峰村、丰亨村、罗洋村、礼堂村。</w:t>
      </w:r>
    </w:p>
    <w:p w14:paraId="4A9E402A">
      <w:pPr>
        <w:pStyle w:val="7"/>
        <w:widowControl/>
        <w:spacing w:beforeAutospacing="0" w:after="300" w:afterAutospacing="0"/>
        <w:ind w:left="640"/>
        <w:jc w:val="both"/>
        <w:rPr>
          <w:rFonts w:ascii="Times New Roman" w:hAnsi="Times New Roman" w:eastAsia="仿宋_GB2312"/>
          <w:b/>
          <w:bCs/>
          <w:color w:val="000000" w:themeColor="text1"/>
          <w:sz w:val="32"/>
          <w:szCs w:val="32"/>
          <w:shd w:val="clear" w:color="auto" w:fill="FFFFFF"/>
          <w14:textFill>
            <w14:solidFill>
              <w14:schemeClr w14:val="tx1"/>
            </w14:solidFill>
          </w14:textFill>
        </w:rPr>
      </w:pP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2.</w:t>
      </w:r>
      <w:r>
        <w:rPr>
          <w:rFonts w:ascii="Times New Roman" w:hAnsi="Times New Roman" w:eastAsia="仿宋_GB2312"/>
          <w:b/>
          <w:bCs/>
          <w:color w:val="000000" w:themeColor="text1"/>
          <w:sz w:val="32"/>
          <w:szCs w:val="32"/>
          <w:shd w:val="clear" w:color="auto" w:fill="FFFFFF"/>
          <w14:textFill>
            <w14:solidFill>
              <w14:schemeClr w14:val="tx1"/>
            </w14:solidFill>
          </w14:textFill>
        </w:rPr>
        <w:t>产业发展</w:t>
      </w:r>
    </w:p>
    <w:p w14:paraId="2CEF918F">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贯彻落实乡村振兴战略要求，结合自身发展实际，以生态文明为统领，加速传统农业规模化、现代化发展，延伸拓展产业链条，发展农产品精深加工，提高附加值，融入农文旅休闲，推动农业向二三产业拓展。规划明确丰稔镇产业发展方向为：实现农业一产绿色现代化、二产精细高效化、三产特色品牌化，形成特色优势明显的现代农业产业集群。</w:t>
      </w:r>
    </w:p>
    <w:p w14:paraId="7A690389">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3.</w:t>
      </w:r>
      <w:r>
        <w:rPr>
          <w:rFonts w:hint="default" w:ascii="Times New Roman" w:hAnsi="Times New Roman" w:eastAsia="仿宋_GB2312"/>
          <w:color w:val="000000" w:themeColor="text1"/>
          <w:sz w:val="32"/>
          <w:szCs w:val="32"/>
          <w:shd w:val="clear" w:color="auto" w:fill="FFFFFF"/>
          <w14:textFill>
            <w14:solidFill>
              <w14:schemeClr w14:val="tx1"/>
            </w14:solidFill>
          </w14:textFill>
        </w:rPr>
        <w:t>公共服务设施</w:t>
      </w:r>
    </w:p>
    <w:p w14:paraId="282F5ED4">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规划构建 “镇级－中心村级－一般村级” 三级公共服务设施配置体系，因地制宜统筹划定</w:t>
      </w:r>
      <w:bookmarkStart w:id="2" w:name="OLE_LINK15"/>
      <w:bookmarkStart w:id="3" w:name="OLE_LINK14"/>
      <w:r>
        <w:rPr>
          <w:rFonts w:hint="eastAsia" w:ascii="Times New Roman" w:hAnsi="Times New Roman" w:eastAsia="仿宋_GB2312"/>
          <w:color w:val="000000" w:themeColor="text1"/>
          <w:sz w:val="32"/>
          <w:szCs w:val="32"/>
          <w:shd w:val="clear" w:color="auto" w:fill="FFFFFF"/>
          <w14:textFill>
            <w14:solidFill>
              <w14:schemeClr w14:val="tx1"/>
            </w14:solidFill>
          </w14:textFill>
        </w:rPr>
        <w:t>1个城镇社区生活圈和3个乡村社区生活圈。</w:t>
      </w:r>
      <w:bookmarkEnd w:id="2"/>
      <w:bookmarkEnd w:id="3"/>
    </w:p>
    <w:p w14:paraId="105665E9">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丰稔城镇社区生活圈：位于镇域中部，包含十二排村、黄岭村、莲东村、莲风村4个行政村。主要配置有人民政府、司法所、派出所、便民服务中心（站）、农业服务中心、文化活动中心、小学、初中、卫生院、养老院等。</w:t>
      </w:r>
    </w:p>
    <w:p w14:paraId="232C4859">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丰稔乡村社区生活圈：位于镇域西南部，包含丰联村、名光村、丰稔村3个行政村。主要配置有村委会、村卫生室、幼儿园、小学、文化活动室、老年人活动室、健身广场、物流配送点等。</w:t>
      </w:r>
    </w:p>
    <w:p w14:paraId="238919FE">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十二排乡村社区生活圈：位于镇域北部，包含礼堂村、高坑村2个行政村。其中，高坑村为中心村。主要配置有村委会、村卫生室、小学、文化活动室、老年人活动室、健身广场等。</w:t>
      </w:r>
    </w:p>
    <w:p w14:paraId="71DB1F7D">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成塘乡村社区生活圈：位于镇域东南部，包含成塘村、排东村、左拔村、罗洋村、排峰村、丰亨村6个行政村。其中，成塘村为中心村。主要配置有村委会、村卫生室、幼儿园、小学、文化活动室、老年人活动室、健身广场、物流配送点等。</w:t>
      </w:r>
    </w:p>
    <w:p w14:paraId="40D293C5">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4.</w:t>
      </w:r>
      <w:r>
        <w:rPr>
          <w:rFonts w:hint="default" w:ascii="Times New Roman" w:hAnsi="Times New Roman" w:eastAsia="仿宋_GB2312"/>
          <w:color w:val="000000" w:themeColor="text1"/>
          <w:sz w:val="32"/>
          <w:szCs w:val="32"/>
          <w:shd w:val="clear" w:color="auto" w:fill="FFFFFF"/>
          <w14:textFill>
            <w14:solidFill>
              <w14:schemeClr w14:val="tx1"/>
            </w14:solidFill>
          </w14:textFill>
        </w:rPr>
        <w:t>综合交通</w:t>
      </w:r>
    </w:p>
    <w:p w14:paraId="79B4E98D">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落实区域重大交通设施和干线公路布局，以铁路、高速公路为道路交通骨架，以普通公路、客货枢纽为补充，强化内外衔接，深入推进镇村交通一体化，建成互联互通、畅通高效的现代综合交通系统。</w:t>
      </w:r>
    </w:p>
    <w:p w14:paraId="282F0755">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5.</w:t>
      </w:r>
      <w:r>
        <w:rPr>
          <w:rFonts w:hint="default" w:ascii="Times New Roman" w:hAnsi="Times New Roman" w:eastAsia="仿宋_GB2312"/>
          <w:color w:val="000000" w:themeColor="text1"/>
          <w:sz w:val="32"/>
          <w:szCs w:val="32"/>
          <w:shd w:val="clear" w:color="auto" w:fill="FFFFFF"/>
          <w14:textFill>
            <w14:solidFill>
              <w14:schemeClr w14:val="tx1"/>
            </w14:solidFill>
          </w14:textFill>
        </w:rPr>
        <w:t>市政基础设施</w:t>
      </w:r>
    </w:p>
    <w:p w14:paraId="311969B6">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（1）给水设施规划</w:t>
      </w:r>
    </w:p>
    <w:p w14:paraId="4EAEE5A6">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至2035年，全镇预测镇域用水量规模为4500立方米/日，由丰稔镇供水厂供水，远期总设计规模为9000立方米/日。加强全镇给水管网建设，提高管网供水能力，增强供水安全性和可靠性。推广节水优先，提高工业用水重复利用率，提高非常规水资源利用。</w:t>
      </w:r>
    </w:p>
    <w:p w14:paraId="3DC6D02A">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（2）污水设施规划</w:t>
      </w:r>
    </w:p>
    <w:p w14:paraId="424598F0">
      <w:pPr>
        <w:pStyle w:val="7"/>
        <w:widowControl/>
        <w:spacing w:beforeAutospacing="0" w:afterAutospacing="0" w:line="560" w:lineRule="exact"/>
        <w:ind w:firstLine="641"/>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至2035年，全镇污水量规模为3600吨/日。镇区污水量规模为720吨/日，加快镇区污水处理设施建设，共建1座污水处理厂，污水处理能力达到1000吨／日。经污水处理厂处理后的废水，水质应满足国家及省市相关标准规定，处理达标后的废水可利用作为生产、景观灌溉等用水，进行二次利用。</w:t>
      </w:r>
    </w:p>
    <w:p w14:paraId="70906FD5">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（3）雨水设施规划</w:t>
      </w:r>
    </w:p>
    <w:p w14:paraId="0D582D7D">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打造“蓝绿灰”融合的雨水排放系统，规划遵循高水高排、分散就近排放原则进行布局。雨水管渠设计标准一般地区采用2年一遇，重点地区采用3-5年一遇。新建区域按雨污分流制高标准建设排水系统，旧区逐步实行分流制。建立从源头到末端的全过程雨水控制与管理体系。</w:t>
      </w:r>
    </w:p>
    <w:p w14:paraId="114D27CE">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（4）环卫设施规划</w:t>
      </w:r>
    </w:p>
    <w:p w14:paraId="325149EB">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落实“户集、村收、镇转运、县处理”的生活垃圾收运体系，进一步优化农村生活垃圾转运和处理体系，全面实施垃圾源头分类减量、分类运输、分类中转、分类处置。完善垃圾收集和转运设施建设，规划保留现状1处占地489平方米的垃圾转运站。垃圾从各个片区收集，垃圾集中后由垃圾转运站经G236运送至丰稔镇丰稔村能源生态园（规划）统一处理。规划至2035年，实现丰稔镇生活垃圾日产日清率达100%，垃圾密闭收运率达100%，生活垃圾无害化处理率达到100%，实现丰稔镇垃圾减量化、资源化、无害化。加快推进自然村建设标准化公厕全覆盖，结合实际村庄情况，增设公共厕所。</w:t>
      </w:r>
    </w:p>
    <w:p w14:paraId="23CAA365">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（5）供电设施规划</w:t>
      </w:r>
    </w:p>
    <w:p w14:paraId="44F54CAD">
      <w:pPr>
        <w:pStyle w:val="7"/>
        <w:widowControl/>
        <w:spacing w:after="300" w:line="560" w:lineRule="exact"/>
        <w:ind w:firstLine="640"/>
        <w:rPr>
          <w:rFonts w:hint="eastAsia"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规划至2035年，镇区电力负荷预测为0.23万kW。保留现状2处变电站，分别为110kV丰稔输变电站与110kV莲塘输变电站。统筹保障电力设施建设空间，严格落实电力设施保护要求，加强高压走廊管控。</w:t>
      </w:r>
    </w:p>
    <w:p w14:paraId="47C2670B">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（6）通信设施规划</w:t>
      </w:r>
    </w:p>
    <w:p w14:paraId="1F2F6944">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规划保留现状1处电信支局、1处邮政支局。完善镇区通信线路、提高镇村信息基础设施水平，规划期内实现行政村通光纤并完成5G网络全覆盖。</w:t>
      </w:r>
    </w:p>
    <w:p w14:paraId="01564641">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（7）燃气设施规划</w:t>
      </w:r>
    </w:p>
    <w:p w14:paraId="7C8BBA3C">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规划至2035年，镇域天然气用气量为210万立方米；镇区燃气普及率达到90%以上，其中天然气普及率达到70%以上；农村燃气普及率达到60%以上。供气方式采用管道和瓶装液化气相结合的方式，重点发展管道供气系统。</w:t>
      </w:r>
    </w:p>
    <w:p w14:paraId="6DC10460">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6.</w:t>
      </w:r>
      <w:r>
        <w:rPr>
          <w:rFonts w:hint="default" w:ascii="Times New Roman" w:hAnsi="Times New Roman" w:eastAsia="仿宋_GB2312"/>
          <w:color w:val="000000" w:themeColor="text1"/>
          <w:sz w:val="32"/>
          <w:szCs w:val="32"/>
          <w:shd w:val="clear" w:color="auto" w:fill="FFFFFF"/>
          <w14:textFill>
            <w14:solidFill>
              <w14:schemeClr w14:val="tx1"/>
            </w14:solidFill>
          </w14:textFill>
        </w:rPr>
        <w:t>韧性安全与防灾减灾体系</w:t>
      </w:r>
    </w:p>
    <w:p w14:paraId="6E900E0F">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（1）防洪排涝系统建设</w:t>
      </w:r>
    </w:p>
    <w:p w14:paraId="5EBFF305">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加强东江及小庙河流域生态保护和系统治理，强化中小河流治理、山洪灾害防治，系统建设城镇排水防涝工程体系。镇区按50年一遇防洪标准设防，其它区域按10-20年一遇防洪标准设防。按20年一遇24小时暴雨计算，城镇集中建设区采用1天排干；其他地区为1到2天排干。</w:t>
      </w:r>
    </w:p>
    <w:p w14:paraId="28B563A9">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（2）优化消防设施布局</w:t>
      </w:r>
    </w:p>
    <w:p w14:paraId="7C3F1CB2">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建立高速畅通的消防车通道，确保消防车的通达性和时效性。保留现状消防站，规划近期在丰稔镇区设置1处乡镇消防站。重视市政消火栓的建设和管理，应根据规范要求及实际需求新建、补建消火栓。</w:t>
      </w:r>
    </w:p>
    <w:p w14:paraId="34A135A5">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（3）地震灾害防御建设</w:t>
      </w:r>
    </w:p>
    <w:p w14:paraId="2E45D0A8">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坚持“预防为主、防治结合”的方针，建立健全地质灾害监测预警体系。规划至2035年，基本完成全域所有地质灾害隐患点治理，建成全域高标准地质灾害防治体系。</w:t>
      </w:r>
    </w:p>
    <w:p w14:paraId="552AA9C9">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（4）完善人民防空防护体系</w:t>
      </w:r>
    </w:p>
    <w:p w14:paraId="7591834D">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坚持人防建设与城镇建设紧密结合和协调发展，鼓励开发利用地下空间。合理布局人防警报网点，人防警报覆盖率达到100%。规划至2035年，人均人防工程面积达到1平方米以上。</w:t>
      </w:r>
    </w:p>
    <w:p w14:paraId="336650B0">
      <w:pPr>
        <w:pStyle w:val="7"/>
        <w:widowControl/>
        <w:spacing w:beforeAutospacing="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（5）完善公共卫生防控救治能力</w:t>
      </w:r>
    </w:p>
    <w:p w14:paraId="745C2BDC">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完善应急指挥系统，健全镇应急救灾指挥机构，提高防灾减灾救灾和重大突发公共事件处置保障能力。预留医疗卫生用地空间，制定公共设施平疫转换预案，规划在镇政府建设应急平台指挥中心，并在各行政村分散设置临时性隔离设施及应急物资储备场所。</w:t>
      </w:r>
    </w:p>
    <w:p w14:paraId="11E37B5F">
      <w:pPr>
        <w:pStyle w:val="7"/>
        <w:widowControl/>
        <w:spacing w:beforeAutospacing="0" w:after="300" w:afterAutospacing="0" w:line="560" w:lineRule="exact"/>
        <w:ind w:firstLine="640"/>
        <w:jc w:val="both"/>
        <w:rPr>
          <w:rFonts w:hint="eastAsia" w:ascii="Times New Roman" w:hAnsi="Times New Roman" w:eastAsia="仿宋_GB2312"/>
          <w:color w:val="000000" w:themeColor="text1"/>
          <w:sz w:val="32"/>
          <w:szCs w:val="32"/>
          <w:shd w:val="clear" w:color="auto" w:fill="FFFFFF"/>
          <w14:textFill>
            <w14:solidFill>
              <w14:schemeClr w14:val="tx1"/>
            </w14:solidFill>
          </w14:textFill>
        </w:rPr>
      </w:pPr>
    </w:p>
    <w:p w14:paraId="14DA2B4C">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7.</w:t>
      </w:r>
      <w:r>
        <w:rPr>
          <w:rFonts w:hint="default" w:ascii="Times New Roman" w:hAnsi="Times New Roman" w:eastAsia="仿宋_GB2312"/>
          <w:color w:val="000000" w:themeColor="text1"/>
          <w:sz w:val="32"/>
          <w:szCs w:val="32"/>
          <w:shd w:val="clear" w:color="auto" w:fill="FFFFFF"/>
          <w14:textFill>
            <w14:solidFill>
              <w14:schemeClr w14:val="tx1"/>
            </w14:solidFill>
          </w14:textFill>
        </w:rPr>
        <w:t>历史文化保护</w:t>
      </w:r>
    </w:p>
    <w:p w14:paraId="3856FFEA">
      <w:pPr>
        <w:pStyle w:val="7"/>
        <w:widowControl/>
        <w:spacing w:beforeAutospacing="0" w:after="300" w:afterAutospacing="0" w:line="560" w:lineRule="exact"/>
        <w:ind w:firstLine="640"/>
        <w:jc w:val="both"/>
        <w:rPr>
          <w:rFonts w:hint="eastAsia"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规划为各级各类文物保护单位建立保护单位名录，明确每个文物保护单位的名称、价值特征等，对各保护单位明确划定保护范围及建设控制地带。重点保护镇域范围内1处国家级传统村落（黄岭村）、1处市级文物保护单位（珠树分荣叶屋）以及黄岭碉楼、牛角塘遗址、左拔大夫第、梅塘角叶屋等4处县级文物保护单位，不得破坏文物保护单位的历史风貌。在保护范围和建设控制地带内不准进行与文物保护无关的建设工程，因特殊原因必须进行建设工程，必须经过原公布单位的审核批准。文物保护的修缮应坚持“不改变文物现状，整旧如旧”的原则。</w:t>
      </w:r>
    </w:p>
    <w:p w14:paraId="28EEE191">
      <w:pPr>
        <w:pStyle w:val="4"/>
        <w:widowControl/>
        <w:spacing w:before="120" w:beforeAutospacing="0" w:after="362" w:afterAutospacing="0" w:line="560" w:lineRule="exact"/>
        <w:ind w:left="643"/>
        <w:jc w:val="both"/>
        <w:rPr>
          <w:rFonts w:hint="default" w:ascii="黑体" w:hAnsi="黑体" w:eastAsia="黑体" w:cs="黑体"/>
          <w:color w:val="000000" w:themeColor="text1"/>
          <w:sz w:val="32"/>
          <w:szCs w:val="32"/>
          <w:shd w:val="clear" w:color="auto" w:fill="FFFFFF"/>
          <w14:textFill>
            <w14:solidFill>
              <w14:schemeClr w14:val="tx1"/>
            </w14:solidFill>
          </w14:textFill>
        </w:rPr>
      </w:pPr>
      <w:r>
        <w:rPr>
          <w:rFonts w:ascii="黑体" w:hAnsi="黑体" w:eastAsia="黑体" w:cs="黑体"/>
          <w:color w:val="000000" w:themeColor="text1"/>
          <w:sz w:val="32"/>
          <w:szCs w:val="32"/>
          <w:shd w:val="clear" w:color="auto" w:fill="FFFFFF"/>
          <w14:textFill>
            <w14:solidFill>
              <w14:schemeClr w14:val="tx1"/>
            </w14:solidFill>
          </w14:textFill>
        </w:rPr>
        <w:t>五</w:t>
      </w:r>
      <w:r>
        <w:rPr>
          <w:rFonts w:hint="default" w:ascii="黑体" w:hAnsi="黑体" w:eastAsia="黑体" w:cs="黑体"/>
          <w:color w:val="000000" w:themeColor="text1"/>
          <w:sz w:val="32"/>
          <w:szCs w:val="32"/>
          <w:shd w:val="clear" w:color="auto" w:fill="FFFFFF"/>
          <w14:textFill>
            <w14:solidFill>
              <w14:schemeClr w14:val="tx1"/>
            </w14:solidFill>
          </w14:textFill>
        </w:rPr>
        <w:t>、镇区空间规划</w:t>
      </w:r>
    </w:p>
    <w:p w14:paraId="775E19CE">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bookmarkStart w:id="4" w:name="OLE_LINK6"/>
      <w:bookmarkStart w:id="5" w:name="OLE_LINK5"/>
      <w:r>
        <w:rPr>
          <w:rFonts w:ascii="Times New Roman" w:hAnsi="Times New Roman" w:eastAsia="仿宋_GB2312"/>
          <w:color w:val="000000" w:themeColor="text1"/>
          <w:sz w:val="32"/>
          <w:szCs w:val="32"/>
          <w:shd w:val="clear" w:color="auto" w:fill="FFFFFF"/>
          <w14:textFill>
            <w14:solidFill>
              <w14:schemeClr w14:val="tx1"/>
            </w14:solidFill>
          </w14:textFill>
        </w:rPr>
        <w:t>1.用地布局规划</w:t>
      </w:r>
    </w:p>
    <w:bookmarkEnd w:id="4"/>
    <w:bookmarkEnd w:id="5"/>
    <w:p w14:paraId="041A3FDA">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规划镇区城镇建设用地面积为58.13公顷，占总用地的100%。包括居住用地、公共管理与公共服务用地、商业服务业用地、工矿用地、仓储用地、交通运输用地、公用设施用地、绿地与开敞空间用地、特殊用地九个一级类。其中居住用地29.12公顷，占建设用地的50.09%；公共管理与公共服务用地6.39公顷，占建设用地的10.99%；商业服务业用地1.40公顷，占建设用地的2.41%；工矿用地5.75公顷，占建设用地的9.89%；仓储用地0.02公顷，占建设用地的0.03%；交通运输用地13.33公顷，占建设用地的22.93%；公用设施用地1.06公顷，占建设用地的1.82%；绿地与开敞空间用地1.04公顷，占建设用地的1.79%；特殊用地0.02公顷，占建设用地的0.03%。</w:t>
      </w:r>
    </w:p>
    <w:p w14:paraId="5813725C">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合理布局居住用地，建立多主体供给、多渠道保障、租购并举的住房保障制度，加快解决农业转移人口、青年人、低收入群体等住房困难问题。统筹实施存量更新改造与增量开发建设，推动老旧住房宜居改造，打造安全健康、设施完善的完整社区。</w:t>
      </w:r>
    </w:p>
    <w:p w14:paraId="6FBC0DC7">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2. 道路交通规划</w:t>
      </w:r>
    </w:p>
    <w:p w14:paraId="00A6D1E7">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规划镇区道路网络呈“一横六纵”的鱼骨状布局，“一横”为穿越镇区的国道G236，规划对其进行降级改造，将其从过境交通干道改造成为城镇生活性主干道，红线宽度36-60米，设置非机动车道，保障行人与骑行安全。“六纵”为分布在国道两侧的次要道路，红线宽度24-36米，规划打通断头路，疏通梗阻节点，强化“六纵”之间的横向联系，形成高效循环的网状系统。支路作为主次干路的补充，联系镇区各个片区，红线宽度7-24米。规划保留现有公交路线，加强镇村公交与中心城区公交线路的衔接，公共交通站点按500-800米服务半径进行设置，规划设置1处客运站。构建“以配建停车为主、路外公共停车为辅、路内停车为补”的停车供给模式，将镇区划分为停车严格控制区、停车适度控制区、停车适度发展</w:t>
      </w:r>
      <w:r>
        <w:rPr>
          <w:rFonts w:hint="eastAsia" w:cs="Times New Roman"/>
          <w:color w:val="000000" w:themeColor="text1"/>
          <w:kern w:val="0"/>
          <w:shd w:val="clear" w:color="auto" w:fill="FFFFFF"/>
          <w:lang w:val="en-US" w:eastAsia="zh-CN"/>
          <w14:textFill>
            <w14:solidFill>
              <w14:schemeClr w14:val="tx1"/>
            </w14:solidFill>
          </w14:textFill>
        </w:rPr>
        <w:t>区</w:t>
      </w:r>
      <w:r>
        <w:rPr>
          <w:rFonts w:hint="eastAsia" w:cs="Times New Roman"/>
          <w:color w:val="000000" w:themeColor="text1"/>
          <w:kern w:val="0"/>
          <w:shd w:val="clear" w:color="auto" w:fill="FFFFFF"/>
          <w14:textFill>
            <w14:solidFill>
              <w14:schemeClr w14:val="tx1"/>
            </w14:solidFill>
          </w14:textFill>
        </w:rPr>
        <w:t>三类停车管理区，规划设置3处社会停车场，其中一处为充电桩停车场，面积总计0.28公顷。</w:t>
      </w:r>
    </w:p>
    <w:p w14:paraId="3A3E7E75">
      <w:pPr>
        <w:pStyle w:val="2"/>
        <w:ind w:firstLine="640"/>
        <w:rPr>
          <w:rFonts w:hint="eastAsia" w:cs="Times New Roman"/>
          <w:color w:val="000000" w:themeColor="text1"/>
          <w:kern w:val="0"/>
          <w:shd w:val="clear" w:color="auto" w:fill="FFFFFF"/>
          <w14:textFill>
            <w14:solidFill>
              <w14:schemeClr w14:val="tx1"/>
            </w14:solidFill>
          </w14:textFill>
        </w:rPr>
      </w:pPr>
    </w:p>
    <w:p w14:paraId="02BB81EC">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bookmarkStart w:id="6" w:name="OLE_LINK7"/>
      <w:bookmarkStart w:id="7" w:name="OLE_LINK8"/>
      <w:r>
        <w:rPr>
          <w:rFonts w:ascii="Times New Roman" w:hAnsi="Times New Roman" w:eastAsia="仿宋_GB2312"/>
          <w:color w:val="000000" w:themeColor="text1"/>
          <w:sz w:val="32"/>
          <w:szCs w:val="32"/>
          <w:shd w:val="clear" w:color="auto" w:fill="FFFFFF"/>
          <w14:textFill>
            <w14:solidFill>
              <w14:schemeClr w14:val="tx1"/>
            </w14:solidFill>
          </w14:textFill>
        </w:rPr>
        <w:t>3.市政基础设施</w:t>
      </w:r>
    </w:p>
    <w:bookmarkEnd w:id="6"/>
    <w:bookmarkEnd w:id="7"/>
    <w:p w14:paraId="653FD3F9">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（1）给水设施规划</w:t>
      </w:r>
    </w:p>
    <w:p w14:paraId="2A217C69">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预测镇区供水规模用水量约900立方米/日，规划近期镇区供水水源为丰稔镇供水厂（300立方米/日），远期水厂供应量扩至9000立方米/日。积极推进地下供水管网的敷设和老旧管网的改造提升，采用环支结合的供水系统，镇区成环成网，做好沉淀、消毒等供水设施配套的改造工作。</w:t>
      </w:r>
    </w:p>
    <w:p w14:paraId="5FA8EAF2">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（2）污水设施规划</w:t>
      </w:r>
    </w:p>
    <w:p w14:paraId="44D8D86C">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预测规划期末镇区污水量为720立方米/日。镇区的污水经污水管道收集输送至丰稔污水处理厂处理。丰稔污水处理厂近期处理量为800立方米/天，远期处理量为1000立方米/日，能满足排污需求。规划采用雨污分流制排水系统，已建合流制区域逐步进行分流改造，若近期不具备改造条件可采用截流式合流制，远期逐步采用雨污分流制。新建污水管网结合道路、竖向、防灾等规划布置，优先采用重力流输送，改造污水管网应避免与原合流制管线连接，污水管线最小管径应不小于DN400。有毒有害的工业废水须在企业内部自行处理达标后排入污水管道，进入丰稔污水处理厂再进行统一处理和集中排放。</w:t>
      </w:r>
    </w:p>
    <w:p w14:paraId="62EEAB16">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（3）雨水设施规划</w:t>
      </w:r>
    </w:p>
    <w:p w14:paraId="1C096C18">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打造“蓝绿灰”融合的雨水排放系统。完善雨水管道建设，规划遵循高水高排、分散就近排放原则进行布局。雨水量按河源市暴雨强度公式计算，雨水管渠设计标准一般地区采用2年一遇，重点地区采用3-5年一遇。镇区结合道路改造和城市更新逐步完善城镇雨污分流系统，提升管网标准，减低城镇内涝风险。完善雨水系统，建立从源头到末端的全过程雨水控制与管理体系。</w:t>
      </w:r>
    </w:p>
    <w:p w14:paraId="1523A620">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（4）环卫设施规划</w:t>
      </w:r>
    </w:p>
    <w:p w14:paraId="1B1DAE6E">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规划至2035年，镇区生活垃圾产生量为3.6吨/日。保留现状1处占地489平方米的垃圾转运站，垃圾从各个片区收集，集中后由垃圾转运站经G236运送至丰稔村能源生态园（规划）统一处理。规划至2035年，实现生活垃圾日产日清率达100%，垃圾密闭收运率达100%，生活垃圾无害化处理率达到100%，实现丰稔镇垃圾减量化、资源化、无害化。</w:t>
      </w:r>
    </w:p>
    <w:p w14:paraId="7C7DA7CD">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（5）供电设施规划</w:t>
      </w:r>
    </w:p>
    <w:p w14:paraId="04E204BE">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统筹保障电力设施建设空间，严格落实电力设施保护要求，加强高压走廊管控，220KV、110KV、35KV高压架空线路廊道控制宽度分别按30-40米、25米、15米控制。镇区10kV主配电线路逐步改为电缆地埋敷设，沿片区干道深入负荷中心。10kV开闭所与10kV配电所联体建设，当10kV开闭所单独设置时，占地宜为200-300平方米。镇区中压配电线路采用10kV出线辐射状供电，10kV线路沿主要街道采用地下直埋式铺设，逐步改善供电网络，提高供电质量和供电的可靠性，缩小供电半径。</w:t>
      </w:r>
    </w:p>
    <w:p w14:paraId="1DF6F69D">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（6）通信设施规划</w:t>
      </w:r>
    </w:p>
    <w:p w14:paraId="5EF26FF3">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预测镇区固定宽带用户为1125户，有线电视网络容量约为450户，移动通信用户数约为4680户。规划保留现状电信端局和丰稔邮政支局。推进镇区主要道路通信管道建设与光网升级改造，提升千兆宽带覆盖能力；加快现状基站5G化改造工作和新建基站建设，实现5G移动网络满足高速、优质、深度覆盖要求。</w:t>
      </w:r>
    </w:p>
    <w:p w14:paraId="061C6451">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（7）燃气设施规划</w:t>
      </w:r>
    </w:p>
    <w:p w14:paraId="429A7447">
      <w:pPr>
        <w:pStyle w:val="2"/>
        <w:ind w:firstLine="640"/>
        <w:rPr>
          <w:rFonts w:cs="Times New Roman"/>
          <w:color w:val="000000" w:themeColor="text1"/>
          <w:kern w:val="0"/>
          <w:shd w:val="clear" w:color="auto" w:fill="FFFFFF"/>
          <w14:textFill>
            <w14:solidFill>
              <w14:schemeClr w14:val="tx1"/>
            </w14:solidFill>
          </w14:textFill>
        </w:rPr>
      </w:pPr>
      <w:r>
        <w:rPr>
          <w:rFonts w:hint="eastAsia" w:cs="Times New Roman"/>
          <w:color w:val="000000" w:themeColor="text1"/>
          <w:kern w:val="0"/>
          <w:shd w:val="clear" w:color="auto" w:fill="FFFFFF"/>
          <w14:textFill>
            <w14:solidFill>
              <w14:schemeClr w14:val="tx1"/>
            </w14:solidFill>
          </w14:textFill>
        </w:rPr>
        <w:t>至2035年镇区燃气气化率达100%，供气方式采用管道和瓶装液化气相结合的方式，重点发展管道供气系统。城镇管网系统采用次高压—中压两级系统。规划丰稔镇区用气与县城中心城区燃气供应站管网对接，实现</w:t>
      </w:r>
      <w:r>
        <w:rPr>
          <w:rFonts w:hint="eastAsia" w:cs="Times New Roman"/>
          <w:color w:val="000000" w:themeColor="text1"/>
          <w:kern w:val="0"/>
          <w:shd w:val="clear" w:color="auto" w:fill="FFFFFF"/>
          <w:lang w:val="en-US" w:eastAsia="zh-CN"/>
          <w14:textFill>
            <w14:solidFill>
              <w14:schemeClr w14:val="tx1"/>
            </w14:solidFill>
          </w14:textFill>
        </w:rPr>
        <w:t>管</w:t>
      </w:r>
      <w:bookmarkStart w:id="10" w:name="_GoBack"/>
      <w:bookmarkEnd w:id="10"/>
      <w:r>
        <w:rPr>
          <w:rFonts w:hint="eastAsia" w:cs="Times New Roman"/>
          <w:color w:val="000000" w:themeColor="text1"/>
          <w:kern w:val="0"/>
          <w:shd w:val="clear" w:color="auto" w:fill="FFFFFF"/>
          <w14:textFill>
            <w14:solidFill>
              <w14:schemeClr w14:val="tx1"/>
            </w14:solidFill>
          </w14:textFill>
        </w:rPr>
        <w:t>输供气，完善镇区燃气管网，并逐步将镇区天然气管道向周边村庄延伸，提升村庄管道天然气覆盖率。</w:t>
      </w:r>
    </w:p>
    <w:p w14:paraId="34F6D81D">
      <w:pPr>
        <w:pStyle w:val="5"/>
        <w:widowControl/>
        <w:spacing w:before="120" w:beforeAutospacing="0" w:after="362" w:afterAutospacing="0" w:line="560" w:lineRule="exact"/>
        <w:ind w:left="640"/>
        <w:jc w:val="both"/>
        <w:rPr>
          <w:rFonts w:hint="default" w:ascii="Times New Roman" w:hAnsi="Times New Roman" w:eastAsia="仿宋_GB2312"/>
          <w:color w:val="000000" w:themeColor="text1"/>
          <w:sz w:val="32"/>
          <w:szCs w:val="32"/>
          <w:shd w:val="clear" w:color="auto" w:fill="FFFFFF"/>
          <w14:textFill>
            <w14:solidFill>
              <w14:schemeClr w14:val="tx1"/>
            </w14:solidFill>
          </w14:textFill>
        </w:rPr>
      </w:pPr>
      <w:r>
        <w:rPr>
          <w:rFonts w:hint="default" w:ascii="Times New Roman" w:hAnsi="Times New Roman" w:eastAsia="仿宋_GB2312"/>
          <w:color w:val="000000" w:themeColor="text1"/>
          <w:sz w:val="32"/>
          <w:szCs w:val="32"/>
          <w:shd w:val="clear" w:color="auto" w:fill="FFFFFF"/>
          <w14:textFill>
            <w14:solidFill>
              <w14:schemeClr w14:val="tx1"/>
            </w14:solidFill>
          </w14:textFill>
        </w:rPr>
        <w:t>4</w:t>
      </w:r>
      <w:r>
        <w:rPr>
          <w:rFonts w:ascii="Times New Roman" w:hAnsi="Times New Roman" w:eastAsia="仿宋_GB2312"/>
          <w:color w:val="000000" w:themeColor="text1"/>
          <w:sz w:val="32"/>
          <w:szCs w:val="32"/>
          <w:shd w:val="clear" w:color="auto" w:fill="FFFFFF"/>
          <w14:textFill>
            <w14:solidFill>
              <w14:schemeClr w14:val="tx1"/>
            </w14:solidFill>
          </w14:textFill>
        </w:rPr>
        <w:t>.</w:t>
      </w:r>
      <w:r>
        <w:rPr>
          <w:color w:val="000000" w:themeColor="text1"/>
          <w14:textFill>
            <w14:solidFill>
              <w14:schemeClr w14:val="tx1"/>
            </w14:solidFill>
          </w14:textFill>
        </w:rPr>
        <w:t xml:space="preserve"> </w:t>
      </w:r>
      <w:r>
        <w:rPr>
          <w:rFonts w:ascii="Times New Roman" w:hAnsi="Times New Roman" w:eastAsia="仿宋_GB2312"/>
          <w:color w:val="000000" w:themeColor="text1"/>
          <w:sz w:val="32"/>
          <w:szCs w:val="32"/>
          <w:shd w:val="clear" w:color="auto" w:fill="FFFFFF"/>
          <w14:textFill>
            <w14:solidFill>
              <w14:schemeClr w14:val="tx1"/>
            </w14:solidFill>
          </w14:textFill>
        </w:rPr>
        <w:t>韧性安全与防灾减灾体系</w:t>
      </w:r>
    </w:p>
    <w:p w14:paraId="07EDE583">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（1）防洪排涝系统建设</w:t>
      </w:r>
    </w:p>
    <w:p w14:paraId="29EF6B20">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构建安全可靠的防洪系统。加强防洪基础设施建设，提高城镇防洪排涝标准，镇区内涝防治设计重现期为50年一遇，并符合《防洪标准》（GB50201-2014）相关规定，对镇区内未达到防洪标准的洪堤围进行整治加固。加强城镇排涝体系建设，化解城镇内涝风险。居民住宅和工商业建筑物的底层不进水，道路中一条车道的积水深度不超过15cm，地面积水3小时内排干。完善镇区雨水系统建设，高水高排，高低分别治理，充分利用地形，就近排入水体，合理设置排涝泵站。完善应急管理体系及管理机制，加强洪涝灾害预测、预警、预报，推进智慧系统建设，不断提升防灾减灾救灾能力。</w:t>
      </w:r>
    </w:p>
    <w:p w14:paraId="727B077E">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（2）优化消防设施布局</w:t>
      </w:r>
    </w:p>
    <w:p w14:paraId="54FD620B">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以接到指令5分钟到达责任区边缘确定消防站布局。建立高速畅通的消防车通道，确保消防车的通达性和时效性。镇区普通消防的辖区面积不应大于7平方公里，近郊区普通消防站的辖区面积不应大于15平方公里。规划至2035年，消防防范管理和应急救援能力达到同类型城镇水平。结合镇级消防指挥中心，保留现状消防站，规划近期在丰稔镇区设置1处乡镇消防站。重视市政消火栓的建设和管理，根据规范要求及实际需求新建、补建消火栓。重视推动消防科普教育基地建设，持续加强公众防灾意识教育。</w:t>
      </w:r>
    </w:p>
    <w:p w14:paraId="6296F91B">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（3）地震灾害防御建设</w:t>
      </w:r>
    </w:p>
    <w:p w14:paraId="365A3E7B">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坚决贯彻“以防为主、防抗救相结合”的基本方针，积极与龙川县进行衔接，充分按照新时期广东省地震灾害防御要求开展工作，实现省-市-县-镇竖向到底的管理。依托地震灾害防御新技术研究及应用，构建完善的地震灾害防御体系。新建、扩建、改建的建设工程，应当达到抗震设防要求。一般建设工程抗震设防烈度为Ⅶ度；学校、医院等人员密集场所的建设工程按《中国地震动参数区划图》（GB18306-2015）确定的参数基础上提高一档进行抗震设计、建设（地震动峰值加速度提高至0.10g），或按重点设防类建设工程（抗震设防基本烈度提高至Ⅷ度）进行设计、建设，或双提高。</w:t>
      </w:r>
    </w:p>
    <w:p w14:paraId="775EA2BE">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（4）城镇综合防灾建设</w:t>
      </w:r>
    </w:p>
    <w:p w14:paraId="6174680B">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建立以各级应急避难场所为节点，救灾、疏散通道为网络的“全面覆盖、重点突出”的综合防灾空间结构。构建以救援主通道、疏散主通道、疏散次通道和一般疏散通道为主体的分级疏散救援通道体系。利用现有和规划建设的公园、绿地、体育场、学校等旷地以及地下空间，建立布局合理的避难场所体系。至2035年，镇区综合性应急避难场所至少可满足本行政区所需应急避难总人数的60%，室内可容纳避难人数不低于室内外可容纳避难人数的20%，人均避难场所面积达到1平方米。应急指挥中心位于镇政府。将镇域内广场和公园等空旷地块作为镇区的应急避难场所，将中心小学、丰稔中心规划为临时避难场所，避难场所避开山洪灾害危险区。</w:t>
      </w:r>
    </w:p>
    <w:p w14:paraId="7EC01910">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（5）完善人民防空防护体系</w:t>
      </w:r>
    </w:p>
    <w:p w14:paraId="62420820">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坚持军民融合、平战结合，加快构建人民防空体系，履行“战时防空、平时服务、应急支援”使命任务。统筹整合地上与地下空间，优化民防工程、人防警报、人防疏散基地等设施布局，与隧道、地面大中型服务场所等公共设施连片成网，提升人民防空建设水平和可持续发展能力。规划至2035年，镇区人均掩蔽面积为1.5平方米。</w:t>
      </w:r>
    </w:p>
    <w:p w14:paraId="0F3B3BB1">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（6）完善公共卫生防控救治能力</w:t>
      </w:r>
    </w:p>
    <w:p w14:paraId="11636E9B">
      <w:pPr>
        <w:pStyle w:val="2"/>
        <w:ind w:firstLine="640"/>
        <w:rPr>
          <w:rFonts w:cs="Times New Roman"/>
          <w:color w:val="000000" w:themeColor="text1"/>
          <w:kern w:val="0"/>
          <w:shd w:val="clear" w:color="auto" w:fill="FFFFFF"/>
          <w14:textFill>
            <w14:solidFill>
              <w14:schemeClr w14:val="tx1"/>
            </w14:solidFill>
          </w14:textFill>
        </w:rPr>
      </w:pPr>
      <w:r>
        <w:rPr>
          <w:rFonts w:cs="Times New Roman"/>
          <w:color w:val="000000" w:themeColor="text1"/>
          <w:kern w:val="0"/>
          <w:shd w:val="clear" w:color="auto" w:fill="FFFFFF"/>
          <w14:textFill>
            <w14:solidFill>
              <w14:schemeClr w14:val="tx1"/>
            </w14:solidFill>
          </w14:textFill>
        </w:rPr>
        <w:t>按“平战结合、医防融合、资源整合”原则预留医疗卫生用地空间，制定体育、文化等公共设施平疫转换预案，预留应急空间，规划在镇政府建设应急平台指挥中心与疾病预防控制中心，并在各行政村分散设置临时性隔离设施及应急物资储备场所，提高抗灾能力。制定完善镇级突发公共卫生事件应急预案，建立常规医疗设施为主、应急医疗卫生设施为辅的医疗卫生设施体系，提高应对突发公共卫生事件能力。</w:t>
      </w:r>
    </w:p>
    <w:p w14:paraId="12EB545C">
      <w:pPr>
        <w:pStyle w:val="4"/>
        <w:widowControl/>
        <w:spacing w:before="120" w:beforeAutospacing="0" w:after="362" w:afterAutospacing="0" w:line="560" w:lineRule="exact"/>
        <w:ind w:left="643"/>
        <w:jc w:val="both"/>
        <w:rPr>
          <w:rFonts w:hint="default" w:ascii="黑体" w:hAnsi="黑体" w:eastAsia="黑体" w:cs="黑体"/>
          <w:color w:val="000000" w:themeColor="text1"/>
          <w:sz w:val="32"/>
          <w:szCs w:val="32"/>
          <w:shd w:val="clear" w:color="auto" w:fill="FFFFFF"/>
          <w14:textFill>
            <w14:solidFill>
              <w14:schemeClr w14:val="tx1"/>
            </w14:solidFill>
          </w14:textFill>
        </w:rPr>
      </w:pPr>
      <w:r>
        <w:rPr>
          <w:rFonts w:ascii="黑体" w:hAnsi="黑体" w:eastAsia="黑体" w:cs="黑体"/>
          <w:color w:val="000000" w:themeColor="text1"/>
          <w:sz w:val="32"/>
          <w:szCs w:val="32"/>
          <w:shd w:val="clear" w:color="auto" w:fill="FFFFFF"/>
          <w14:textFill>
            <w14:solidFill>
              <w14:schemeClr w14:val="tx1"/>
            </w14:solidFill>
          </w14:textFill>
        </w:rPr>
        <w:t>六</w:t>
      </w:r>
      <w:r>
        <w:rPr>
          <w:rFonts w:hint="default" w:ascii="黑体" w:hAnsi="黑体" w:eastAsia="黑体" w:cs="黑体"/>
          <w:color w:val="000000" w:themeColor="text1"/>
          <w:sz w:val="32"/>
          <w:szCs w:val="32"/>
          <w:shd w:val="clear" w:color="auto" w:fill="FFFFFF"/>
          <w14:textFill>
            <w14:solidFill>
              <w14:schemeClr w14:val="tx1"/>
            </w14:solidFill>
          </w14:textFill>
        </w:rPr>
        <w:t>、规划实施传导</w:t>
      </w:r>
    </w:p>
    <w:p w14:paraId="20AF10A9">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1</w:t>
      </w: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w:t>
      </w:r>
      <w:r>
        <w:rPr>
          <w:rFonts w:ascii="Times New Roman" w:hAnsi="Times New Roman" w:eastAsia="仿宋_GB2312"/>
          <w:b/>
          <w:bCs/>
          <w:color w:val="000000" w:themeColor="text1"/>
          <w:sz w:val="32"/>
          <w:szCs w:val="32"/>
          <w:shd w:val="clear" w:color="auto" w:fill="FFFFFF"/>
          <w14:textFill>
            <w14:solidFill>
              <w14:schemeClr w14:val="tx1"/>
            </w14:solidFill>
          </w14:textFill>
        </w:rPr>
        <w:t>规划传导</w:t>
      </w:r>
    </w:p>
    <w:p w14:paraId="7DCDE58D">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（1）优化规划传导体系</w:t>
      </w:r>
    </w:p>
    <w:p w14:paraId="02C22EA6">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统筹协调空间布局、产业发展、用地规模的关系，形成统一衔接、功能互补、相互协调的空间规划体系。落实市县规划确定的职能定位、约束性指标、</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三区三线</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和重大基础设施、生态廊道等空间布局。划定详细规划与村庄规划管控单元，将国土空间规划发展指引、指标、边界、用途、名录等有效传导至城镇控制性详细规划单元和村庄管控单元。</w:t>
      </w:r>
    </w:p>
    <w:p w14:paraId="1AA89F6A">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（2）对市县规划的落实</w:t>
      </w:r>
    </w:p>
    <w:p w14:paraId="18E6B88F">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落实市县规划确定的职能定位、生态保护红线面积、耕地保有量、永久基本农田保护面积、建设用地规模、城乡建设用地规模、新增生态修复面积等约束性指标，以及空间引导、底线约束和重大基础设施、生态廊道等空间布局。</w:t>
      </w:r>
    </w:p>
    <w:p w14:paraId="330BD3E5">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（3）对村庄规划的传导</w:t>
      </w:r>
    </w:p>
    <w:p w14:paraId="2B8F729F">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结合乡村社区生活圈，划定乡村社区生活圈单元。将耕地保有量、永久基本农田面积、生态保护红线、城乡建设用地、村庄用地、乡村重点产业项目用地等传导至乡村社区生活圈单元。</w:t>
      </w:r>
    </w:p>
    <w:p w14:paraId="507A0B2F">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highlight w:val="yellow"/>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（4）对详细规划的传导</w:t>
      </w:r>
    </w:p>
    <w:p w14:paraId="132FE0A5">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hint="eastAsia" w:ascii="Times New Roman" w:hAnsi="Times New Roman" w:eastAsia="仿宋_GB2312"/>
          <w:color w:val="000000" w:themeColor="text1"/>
          <w:sz w:val="32"/>
          <w:szCs w:val="32"/>
          <w:shd w:val="clear" w:color="auto" w:fill="FFFFFF"/>
          <w14:textFill>
            <w14:solidFill>
              <w14:schemeClr w14:val="tx1"/>
            </w14:solidFill>
          </w14:textFill>
        </w:rPr>
        <w:t>控制性详细规划的编制，应落实省级指南相关要求，按照“单元详细规划—地块开发细则”两个层次开展编制工作。单元详细规划应确定主导功能、总建筑面积、公共服务设施、道路交通等市政基础设施和空间环境等控制要求，地块开发细则对具体地块用途和强度作出实施性安排，为城镇开发边界内的规划管理提供依据。</w:t>
      </w:r>
    </w:p>
    <w:p w14:paraId="414ED731">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b/>
          <w:bCs/>
          <w:color w:val="000000" w:themeColor="text1"/>
          <w:sz w:val="32"/>
          <w:szCs w:val="32"/>
          <w:shd w:val="clear" w:color="auto" w:fill="FFFFFF"/>
          <w14:textFill>
            <w14:solidFill>
              <w14:schemeClr w14:val="tx1"/>
            </w14:solidFill>
          </w14:textFill>
        </w:rPr>
        <w:t>2</w:t>
      </w:r>
      <w:r>
        <w:rPr>
          <w:rFonts w:hint="eastAsia" w:ascii="Times New Roman" w:hAnsi="Times New Roman" w:eastAsia="仿宋_GB2312"/>
          <w:b/>
          <w:bCs/>
          <w:color w:val="000000" w:themeColor="text1"/>
          <w:sz w:val="32"/>
          <w:szCs w:val="32"/>
          <w:shd w:val="clear" w:color="auto" w:fill="FFFFFF"/>
          <w14:textFill>
            <w14:solidFill>
              <w14:schemeClr w14:val="tx1"/>
            </w14:solidFill>
          </w14:textFill>
        </w:rPr>
        <w:t>.</w:t>
      </w:r>
      <w:r>
        <w:rPr>
          <w:rFonts w:ascii="Times New Roman" w:hAnsi="Times New Roman" w:eastAsia="仿宋_GB2312"/>
          <w:b/>
          <w:bCs/>
          <w:color w:val="000000" w:themeColor="text1"/>
          <w:sz w:val="32"/>
          <w:szCs w:val="32"/>
          <w:shd w:val="clear" w:color="auto" w:fill="FFFFFF"/>
          <w14:textFill>
            <w14:solidFill>
              <w14:schemeClr w14:val="tx1"/>
            </w14:solidFill>
          </w14:textFill>
        </w:rPr>
        <w:t>村庄建设通则</w:t>
      </w:r>
    </w:p>
    <w:p w14:paraId="2B8971AB">
      <w:pPr>
        <w:pStyle w:val="7"/>
        <w:widowControl/>
        <w:spacing w:beforeAutospacing="0" w:after="300" w:afterAutospacing="0" w:line="560" w:lineRule="exact"/>
        <w:ind w:firstLine="641"/>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本通则以国土空间总体规划为依据，适用于丰稔镇城镇开发边界外且</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多规合一</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实用型村庄规划未覆盖的村庄，作为实施国土空间用途管制、核发乡村建设规划许可的依据，满足村庄建设和管理需求。对后续有条件和需求的村庄，可在村庄规划通则的基础上进一步细化深化编制</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多规合一</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w:t>
      </w:r>
      <w:r>
        <w:rPr>
          <w:rFonts w:ascii="Times New Roman" w:hAnsi="Times New Roman" w:eastAsia="仿宋_GB2312"/>
          <w:color w:val="000000" w:themeColor="text1"/>
          <w:sz w:val="32"/>
          <w:szCs w:val="32"/>
          <w:shd w:val="clear" w:color="auto" w:fill="FFFFFF"/>
          <w14:textFill>
            <w14:solidFill>
              <w14:schemeClr w14:val="tx1"/>
            </w14:solidFill>
          </w14:textFill>
        </w:rPr>
        <w:t>实用型村庄规划或村庄管控方案，并倡导基于经济、文化、资源、产业而存在一定关联性的若干个村庄组成村庄群整体编制村庄规划。</w:t>
      </w:r>
    </w:p>
    <w:tbl>
      <w:tblPr>
        <w:tblStyle w:val="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54"/>
      </w:tblGrid>
      <w:tr w14:paraId="58C5E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000" w:type="pct"/>
            <w:shd w:val="clear" w:color="auto" w:fill="E7E6E6" w:themeFill="background2"/>
          </w:tcPr>
          <w:p w14:paraId="10E3E17C">
            <w:pPr>
              <w:pStyle w:val="13"/>
              <w:spacing w:line="560" w:lineRule="exact"/>
              <w:ind w:firstLine="0" w:firstLineChars="0"/>
              <w:jc w:val="center"/>
              <w:rPr>
                <w:rFonts w:cs="Times New Roman"/>
                <w:b/>
                <w:kern w:val="0"/>
              </w:rPr>
            </w:pPr>
            <w:r>
              <w:rPr>
                <w:rFonts w:cs="Times New Roman"/>
                <w:b/>
                <w:kern w:val="0"/>
              </w:rPr>
              <w:t>专栏：村庄规划空间管制通则表</w:t>
            </w:r>
          </w:p>
        </w:tc>
      </w:tr>
      <w:tr w14:paraId="43B8B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7" w:hRule="atLeast"/>
        </w:trPr>
        <w:tc>
          <w:tcPr>
            <w:tcW w:w="5000" w:type="pct"/>
          </w:tcPr>
          <w:p w14:paraId="21B31BBB">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一、总则</w:t>
            </w:r>
          </w:p>
          <w:p w14:paraId="1CC6AD00">
            <w:pPr>
              <w:pStyle w:val="13"/>
              <w:numPr>
                <w:ilvl w:val="1"/>
                <w:numId w:val="2"/>
              </w:numPr>
              <w:spacing w:line="560" w:lineRule="exact"/>
              <w:ind w:firstLine="560"/>
              <w:rPr>
                <w:rFonts w:cs="Times New Roman"/>
                <w:kern w:val="0"/>
                <w:sz w:val="28"/>
                <w:szCs w:val="28"/>
              </w:rPr>
            </w:pPr>
            <w:r>
              <w:rPr>
                <w:rFonts w:cs="Times New Roman"/>
                <w:kern w:val="0"/>
                <w:sz w:val="28"/>
                <w:szCs w:val="28"/>
              </w:rPr>
              <w:t>在本镇行政区范围内进行村庄规划建设活动，必须遵守本通则。本通则所称的规划区，是指村庄建设的发展需要实行控制的区域。</w:t>
            </w:r>
          </w:p>
          <w:p w14:paraId="256065F2">
            <w:pPr>
              <w:pStyle w:val="13"/>
              <w:numPr>
                <w:ilvl w:val="1"/>
                <w:numId w:val="2"/>
              </w:numPr>
              <w:spacing w:line="560" w:lineRule="exact"/>
              <w:ind w:firstLine="560"/>
              <w:rPr>
                <w:rFonts w:cs="Times New Roman"/>
                <w:kern w:val="0"/>
                <w:sz w:val="28"/>
                <w:szCs w:val="28"/>
              </w:rPr>
            </w:pPr>
            <w:r>
              <w:rPr>
                <w:rFonts w:cs="Times New Roman"/>
                <w:kern w:val="0"/>
                <w:sz w:val="28"/>
                <w:szCs w:val="28"/>
              </w:rPr>
              <w:t>村庄规划建设管理实行统一领导、统一管理，并应当坚持合理布局，节约用地的原则，全面规划、正确引导、因地制宜，逐步建设，实现经济效益、社会效益和环境效益的统一。</w:t>
            </w:r>
          </w:p>
          <w:p w14:paraId="324438FE">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二、空间管控要求</w:t>
            </w:r>
          </w:p>
          <w:p w14:paraId="290D6733">
            <w:pPr>
              <w:pStyle w:val="13"/>
              <w:numPr>
                <w:ilvl w:val="1"/>
                <w:numId w:val="2"/>
              </w:numPr>
              <w:spacing w:line="560" w:lineRule="exact"/>
              <w:ind w:firstLine="560"/>
              <w:rPr>
                <w:rFonts w:cs="Times New Roman"/>
                <w:kern w:val="0"/>
                <w:sz w:val="28"/>
                <w:szCs w:val="28"/>
              </w:rPr>
            </w:pPr>
            <w:r>
              <w:rPr>
                <w:rFonts w:cs="Times New Roman"/>
                <w:kern w:val="0"/>
                <w:sz w:val="28"/>
                <w:szCs w:val="28"/>
              </w:rPr>
              <w:t>严格落实耕地、永久基本农田、生态保护红线保护任务，落实“三区三线”划定成果，传导龙川县国土空间总体规划中的其他各类空间控制线，按照规划落实布局和控制要求。</w:t>
            </w:r>
          </w:p>
          <w:p w14:paraId="4E495490">
            <w:pPr>
              <w:pStyle w:val="13"/>
              <w:numPr>
                <w:ilvl w:val="1"/>
                <w:numId w:val="2"/>
              </w:numPr>
              <w:spacing w:line="560" w:lineRule="exact"/>
              <w:ind w:firstLine="560"/>
              <w:rPr>
                <w:rFonts w:cs="Times New Roman"/>
                <w:kern w:val="0"/>
                <w:sz w:val="28"/>
                <w:szCs w:val="28"/>
              </w:rPr>
            </w:pPr>
            <w:r>
              <w:rPr>
                <w:rFonts w:cs="Times New Roman"/>
                <w:kern w:val="0"/>
                <w:sz w:val="28"/>
                <w:szCs w:val="28"/>
              </w:rPr>
              <w:t>坚守耕地保护任务，</w:t>
            </w:r>
            <w:r>
              <w:rPr>
                <w:rFonts w:cs="Times New Roman"/>
                <w:kern w:val="0"/>
                <w:sz w:val="28"/>
                <w:szCs w:val="28"/>
                <w:u w:val="single"/>
              </w:rPr>
              <w:t>规划至2035年耕地保有量不少于16.34平方公里。</w:t>
            </w:r>
            <w:r>
              <w:rPr>
                <w:rFonts w:cs="Times New Roman"/>
                <w:kern w:val="0"/>
                <w:sz w:val="28"/>
                <w:szCs w:val="28"/>
              </w:rPr>
              <w:t>严格落实“大占补、大平衡”原则，将非农建设、造林种树、种果种茶等各类占用耕地行为统一纳入耕地占补平衡管理，确保耕地数量和质量占补平衡，符合上级下达规模要求。</w:t>
            </w:r>
          </w:p>
          <w:p w14:paraId="2233D8B8">
            <w:pPr>
              <w:pStyle w:val="13"/>
              <w:numPr>
                <w:ilvl w:val="1"/>
                <w:numId w:val="2"/>
              </w:numPr>
              <w:spacing w:line="560" w:lineRule="exact"/>
              <w:ind w:firstLine="560"/>
              <w:rPr>
                <w:rFonts w:cs="Times New Roman"/>
                <w:kern w:val="0"/>
                <w:sz w:val="28"/>
                <w:szCs w:val="28"/>
              </w:rPr>
            </w:pPr>
            <w:r>
              <w:rPr>
                <w:rFonts w:cs="Times New Roman"/>
                <w:kern w:val="0"/>
                <w:sz w:val="28"/>
                <w:szCs w:val="28"/>
              </w:rPr>
              <w:t>加强粮食安全、生态保护意识，村庄开发建设不得占用生态保护红线、永久基本农田。</w:t>
            </w:r>
            <w:r>
              <w:rPr>
                <w:rFonts w:cs="Times New Roman"/>
                <w:kern w:val="0"/>
                <w:sz w:val="28"/>
                <w:szCs w:val="28"/>
                <w:u w:val="single"/>
              </w:rPr>
              <w:t>规划至2035年生态保护红线不少于0.44平方公里、永久基本农田不少于15.78平方公里</w:t>
            </w:r>
            <w:r>
              <w:rPr>
                <w:rFonts w:cs="Times New Roman"/>
                <w:kern w:val="0"/>
                <w:sz w:val="28"/>
                <w:szCs w:val="28"/>
              </w:rPr>
              <w:t>。</w:t>
            </w:r>
          </w:p>
          <w:p w14:paraId="4207BE78">
            <w:pPr>
              <w:pStyle w:val="13"/>
              <w:numPr>
                <w:ilvl w:val="1"/>
                <w:numId w:val="2"/>
              </w:numPr>
              <w:spacing w:line="560" w:lineRule="exact"/>
              <w:ind w:firstLine="560"/>
              <w:rPr>
                <w:rFonts w:cs="Times New Roman"/>
                <w:kern w:val="0"/>
                <w:sz w:val="28"/>
                <w:szCs w:val="28"/>
              </w:rPr>
            </w:pPr>
            <w:r>
              <w:rPr>
                <w:rFonts w:cs="Times New Roman"/>
                <w:kern w:val="0"/>
                <w:sz w:val="28"/>
                <w:szCs w:val="28"/>
              </w:rPr>
              <w:t>不得在河湖管理线、地质灾害高易发区内布置宅基地、农村一二三产业项目等非必要建设。</w:t>
            </w:r>
          </w:p>
          <w:p w14:paraId="190A5858">
            <w:pPr>
              <w:pStyle w:val="13"/>
              <w:numPr>
                <w:ilvl w:val="1"/>
                <w:numId w:val="2"/>
              </w:numPr>
              <w:spacing w:line="560" w:lineRule="exact"/>
              <w:ind w:firstLine="560"/>
              <w:rPr>
                <w:rFonts w:cs="Times New Roman"/>
                <w:kern w:val="0"/>
                <w:sz w:val="28"/>
                <w:szCs w:val="28"/>
              </w:rPr>
            </w:pPr>
            <w:r>
              <w:rPr>
                <w:rFonts w:hint="eastAsia" w:cs="Times New Roman"/>
                <w:kern w:val="0"/>
                <w:sz w:val="28"/>
                <w:szCs w:val="28"/>
              </w:rPr>
              <w:t>加强对乡村地区土地的规划、建设和监管，确保村庄建设用地的合理布局和规模控制。村庄建设应依法依规办理相关手续，严禁未批先建等行为；加强村庄管理，遏制村庄“乱搭乱建”现象，严禁侵占集体土地。</w:t>
            </w:r>
          </w:p>
          <w:p w14:paraId="5948A541">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三、农民建房指引</w:t>
            </w:r>
          </w:p>
          <w:p w14:paraId="61920AC6">
            <w:pPr>
              <w:pStyle w:val="13"/>
              <w:numPr>
                <w:ilvl w:val="1"/>
                <w:numId w:val="2"/>
              </w:numPr>
              <w:spacing w:line="560" w:lineRule="exact"/>
              <w:ind w:firstLine="560"/>
              <w:rPr>
                <w:rFonts w:cs="Times New Roman"/>
                <w:kern w:val="0"/>
                <w:sz w:val="28"/>
                <w:szCs w:val="28"/>
              </w:rPr>
            </w:pPr>
            <w:r>
              <w:rPr>
                <w:rFonts w:cs="Times New Roman"/>
                <w:kern w:val="0"/>
                <w:sz w:val="28"/>
                <w:szCs w:val="28"/>
              </w:rPr>
              <w:t>规划新申请的宅基地，优先布局在村庄建设边界内，依据河源市、</w:t>
            </w:r>
            <w:bookmarkStart w:id="8" w:name="OLE_LINK1"/>
            <w:r>
              <w:rPr>
                <w:rFonts w:cs="Times New Roman"/>
                <w:kern w:val="0"/>
                <w:sz w:val="28"/>
                <w:szCs w:val="28"/>
              </w:rPr>
              <w:t>龙川县农村宅基地和农房建设管理</w:t>
            </w:r>
            <w:bookmarkEnd w:id="8"/>
            <w:r>
              <w:rPr>
                <w:rFonts w:cs="Times New Roman"/>
                <w:kern w:val="0"/>
                <w:sz w:val="28"/>
                <w:szCs w:val="28"/>
              </w:rPr>
              <w:t>的具体要求申请宅基地。零散新增的宅基地，可结合实际“一事一议”，但不得违反宅基地建设相关管理规定。严格执行“一户一宅”政策及国家、省、市、县宅基地等相关规定。</w:t>
            </w:r>
          </w:p>
          <w:p w14:paraId="7C667428">
            <w:pPr>
              <w:pStyle w:val="13"/>
              <w:numPr>
                <w:ilvl w:val="1"/>
                <w:numId w:val="2"/>
              </w:numPr>
              <w:spacing w:line="560" w:lineRule="exact"/>
              <w:ind w:firstLine="560"/>
              <w:rPr>
                <w:rFonts w:cs="Times New Roman"/>
                <w:kern w:val="0"/>
                <w:sz w:val="28"/>
                <w:szCs w:val="28"/>
              </w:rPr>
            </w:pPr>
            <w:r>
              <w:rPr>
                <w:rFonts w:hint="eastAsia"/>
                <w:kern w:val="0"/>
                <w:sz w:val="28"/>
                <w:szCs w:val="28"/>
                <w:u w:val="single"/>
              </w:rPr>
              <w:t>规划新增宅基地村民住房建设每户用地面积不得超过</w:t>
            </w:r>
            <w:r>
              <w:rPr>
                <w:kern w:val="0"/>
                <w:sz w:val="28"/>
                <w:szCs w:val="28"/>
                <w:u w:val="single"/>
              </w:rPr>
              <w:t>150</w:t>
            </w:r>
            <w:r>
              <w:rPr>
                <w:rFonts w:hint="eastAsia"/>
                <w:kern w:val="0"/>
                <w:sz w:val="28"/>
                <w:szCs w:val="28"/>
                <w:u w:val="single"/>
              </w:rPr>
              <w:t>平方米，建筑总面积不超过</w:t>
            </w:r>
            <w:r>
              <w:rPr>
                <w:kern w:val="0"/>
                <w:sz w:val="28"/>
                <w:szCs w:val="28"/>
                <w:u w:val="single"/>
              </w:rPr>
              <w:t>350</w:t>
            </w:r>
            <w:r>
              <w:rPr>
                <w:rFonts w:hint="eastAsia"/>
                <w:kern w:val="0"/>
                <w:sz w:val="28"/>
                <w:szCs w:val="28"/>
                <w:u w:val="single"/>
              </w:rPr>
              <w:t>平方米，建筑层数不得超过三层半，总楼高不得超过</w:t>
            </w:r>
            <w:r>
              <w:rPr>
                <w:kern w:val="0"/>
                <w:sz w:val="28"/>
                <w:szCs w:val="28"/>
                <w:u w:val="single"/>
              </w:rPr>
              <w:t>13.5</w:t>
            </w:r>
            <w:r>
              <w:rPr>
                <w:rFonts w:hint="eastAsia"/>
                <w:kern w:val="0"/>
                <w:sz w:val="28"/>
                <w:szCs w:val="28"/>
                <w:u w:val="single"/>
              </w:rPr>
              <w:t>米。</w:t>
            </w:r>
            <w:r>
              <w:rPr>
                <w:rFonts w:hint="eastAsia"/>
                <w:kern w:val="0"/>
                <w:sz w:val="28"/>
                <w:szCs w:val="28"/>
              </w:rPr>
              <w:t>新建住房应采用客家民居风格的建筑，符合村庄整体景观风貌控制性要求。鼓励位于城镇开发边界外的村庄采取集体建房方式建设住房，并满足相关指标、公共服务配套的管控要求</w:t>
            </w:r>
            <w:r>
              <w:rPr>
                <w:rFonts w:cs="Times New Roman"/>
                <w:kern w:val="0"/>
                <w:sz w:val="28"/>
                <w:szCs w:val="28"/>
              </w:rPr>
              <w:t>。</w:t>
            </w:r>
          </w:p>
          <w:p w14:paraId="64A5FB16">
            <w:pPr>
              <w:pStyle w:val="13"/>
              <w:numPr>
                <w:ilvl w:val="1"/>
                <w:numId w:val="2"/>
              </w:numPr>
              <w:spacing w:line="560" w:lineRule="exact"/>
              <w:ind w:firstLine="560"/>
              <w:rPr>
                <w:rFonts w:cs="Times New Roman"/>
                <w:kern w:val="0"/>
                <w:sz w:val="28"/>
                <w:szCs w:val="28"/>
              </w:rPr>
            </w:pPr>
            <w:r>
              <w:rPr>
                <w:rFonts w:hint="eastAsia" w:cs="Times New Roman"/>
                <w:kern w:val="0"/>
                <w:sz w:val="28"/>
                <w:szCs w:val="28"/>
              </w:rPr>
              <w:t>合理控制建设退距。高速公路、铁路、公路、架空电力线路等交通及市政要素周边开展的各类建设应遵循有关法律法规条例的规定与相关主管部门的要求进行建筑退让。新建、改建、扩建建筑物与用地界线、城镇道路、公路、河道、城镇绿地、地面轨道交通相邻时，其建筑控制线退让距离，必须综合考虑消防、抗震、防汛、防爆、交通安全以及水源保护、环境保护、电力保护及城镇景观等方面的要求。沿穿越村庄的公路两侧新建农村建筑，应满足公路安全保护条例要求。临近村庄道路的地上建筑退让道路红线应满足建筑防火设计规范；同时须留出符合村庄消防安全的距离及通道。阳台、屋檐等出挑物不应影响相邻房屋的正常通风、采光和正常使用。</w:t>
            </w:r>
          </w:p>
          <w:p w14:paraId="152CC78C">
            <w:pPr>
              <w:pStyle w:val="13"/>
              <w:numPr>
                <w:ilvl w:val="1"/>
                <w:numId w:val="2"/>
              </w:numPr>
              <w:spacing w:line="560" w:lineRule="exact"/>
              <w:ind w:firstLine="560"/>
              <w:rPr>
                <w:rFonts w:cs="Times New Roman"/>
                <w:kern w:val="0"/>
                <w:sz w:val="28"/>
                <w:szCs w:val="28"/>
              </w:rPr>
            </w:pPr>
            <w:r>
              <w:rPr>
                <w:rFonts w:hint="eastAsia" w:cs="Times New Roman"/>
                <w:kern w:val="0"/>
                <w:sz w:val="28"/>
                <w:szCs w:val="28"/>
              </w:rPr>
              <w:t>对现有宅基地申请原址重建的，参照新建宅基地要求进行管理。</w:t>
            </w:r>
          </w:p>
          <w:p w14:paraId="63681859">
            <w:pPr>
              <w:pStyle w:val="13"/>
              <w:numPr>
                <w:ilvl w:val="1"/>
                <w:numId w:val="2"/>
              </w:numPr>
              <w:spacing w:line="560" w:lineRule="exact"/>
              <w:ind w:firstLine="560"/>
              <w:rPr>
                <w:rFonts w:cs="Times New Roman"/>
                <w:kern w:val="0"/>
                <w:sz w:val="28"/>
                <w:szCs w:val="28"/>
              </w:rPr>
            </w:pPr>
            <w:r>
              <w:rPr>
                <w:rFonts w:cs="Times New Roman"/>
                <w:kern w:val="0"/>
                <w:sz w:val="28"/>
                <w:szCs w:val="28"/>
              </w:rPr>
              <w:t>新建农房参照河源市龙川县新建农房设计通用图集，符合风貌管控要求，符合功能现代、结构安全、成本经济、绿色环保、风貌协调的要求，建筑风格与乡村环境相协调，体现客家建筑风貌特色。</w:t>
            </w:r>
          </w:p>
          <w:p w14:paraId="54196137">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四、设施配套指引</w:t>
            </w:r>
          </w:p>
          <w:p w14:paraId="2A49776D">
            <w:pPr>
              <w:pStyle w:val="13"/>
              <w:numPr>
                <w:ilvl w:val="1"/>
                <w:numId w:val="2"/>
              </w:numPr>
              <w:spacing w:line="560" w:lineRule="exact"/>
              <w:ind w:firstLine="560"/>
              <w:rPr>
                <w:rFonts w:cs="Times New Roman"/>
                <w:kern w:val="0"/>
                <w:sz w:val="28"/>
                <w:szCs w:val="28"/>
              </w:rPr>
            </w:pPr>
            <w:r>
              <w:rPr>
                <w:rFonts w:cs="Times New Roman"/>
                <w:kern w:val="0"/>
                <w:sz w:val="28"/>
                <w:szCs w:val="28"/>
              </w:rPr>
              <w:t>电力、广播、有线电视、通信电缆、供水、排水等有关设施统一由镇规划、布置、实施。应当优先利用现有建设用地、闲置地和废弃地布局公用设施，原则上容积率不超过2.0，建筑密度不超过40%，绿地率不小于15%，建筑高度不超40米，如有特殊情况在符合相关部门规定的情况下可适当调整。公用设施建设时应与本村居住建筑配套建设，保持整体建筑风格一致。</w:t>
            </w:r>
          </w:p>
          <w:p w14:paraId="7155EC3B">
            <w:pPr>
              <w:pStyle w:val="13"/>
              <w:numPr>
                <w:ilvl w:val="1"/>
                <w:numId w:val="2"/>
              </w:numPr>
              <w:spacing w:line="560" w:lineRule="exact"/>
              <w:ind w:firstLine="560"/>
              <w:rPr>
                <w:rFonts w:cs="Times New Roman"/>
                <w:kern w:val="0"/>
                <w:sz w:val="28"/>
                <w:szCs w:val="28"/>
              </w:rPr>
            </w:pPr>
            <w:r>
              <w:rPr>
                <w:rFonts w:cs="Times New Roman"/>
                <w:kern w:val="0"/>
                <w:sz w:val="28"/>
                <w:szCs w:val="28"/>
              </w:rPr>
              <w:t>公共管理与公共服务用地应符合村庄规划相关要求，原则上</w:t>
            </w:r>
            <w:bookmarkStart w:id="9" w:name="OLE_LINK9"/>
            <w:r>
              <w:rPr>
                <w:rFonts w:cs="Times New Roman"/>
                <w:kern w:val="0"/>
                <w:sz w:val="28"/>
                <w:szCs w:val="28"/>
              </w:rPr>
              <w:t>容积率不超过2.5，建筑密度不超过40%，绿地率不小于35%，建筑高度不超40米，如有特殊情况在符合相关部门规定的情况下可适当调整。</w:t>
            </w:r>
            <w:bookmarkEnd w:id="9"/>
          </w:p>
          <w:p w14:paraId="4348CA53">
            <w:pPr>
              <w:pStyle w:val="13"/>
              <w:numPr>
                <w:ilvl w:val="1"/>
                <w:numId w:val="2"/>
              </w:numPr>
              <w:spacing w:line="560" w:lineRule="exact"/>
              <w:ind w:firstLine="560"/>
              <w:rPr>
                <w:rFonts w:cs="Times New Roman"/>
                <w:kern w:val="0"/>
                <w:sz w:val="28"/>
                <w:szCs w:val="28"/>
              </w:rPr>
            </w:pPr>
            <w:r>
              <w:rPr>
                <w:rFonts w:cs="Times New Roman"/>
                <w:kern w:val="0"/>
                <w:sz w:val="28"/>
                <w:szCs w:val="28"/>
              </w:rPr>
              <w:t>乡村公共设施建设不得占用交通用地建设，其他建设退距要求可参考农民建房相关建设退距要求。</w:t>
            </w:r>
          </w:p>
          <w:p w14:paraId="1044E087">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五、乡村产业用地</w:t>
            </w:r>
          </w:p>
          <w:p w14:paraId="311B6EDD">
            <w:pPr>
              <w:pStyle w:val="13"/>
              <w:numPr>
                <w:ilvl w:val="1"/>
                <w:numId w:val="2"/>
              </w:numPr>
              <w:spacing w:line="560" w:lineRule="exact"/>
              <w:ind w:firstLine="560"/>
              <w:rPr>
                <w:rFonts w:cs="Times New Roman"/>
                <w:kern w:val="0"/>
                <w:sz w:val="28"/>
                <w:szCs w:val="28"/>
              </w:rPr>
            </w:pPr>
            <w:r>
              <w:rPr>
                <w:rFonts w:cs="Times New Roman"/>
                <w:kern w:val="0"/>
                <w:sz w:val="28"/>
                <w:szCs w:val="28"/>
              </w:rPr>
              <w:t>明确乡村产业项目建设要求。允许符合国土空间规划管控规则、有特定选址要求的农村一二三产业融合发展项目、零星城镇建设项目以及符合国家相关政策文件要求的乡村振兴建设项目布局在城镇开发边界外的村庄用地中。国家明令淘汰的落后产能、列入国家禁止类产业目录的、污染环境的项目，不得进入乡村。</w:t>
            </w:r>
          </w:p>
          <w:p w14:paraId="0486A1DB">
            <w:pPr>
              <w:pStyle w:val="13"/>
              <w:numPr>
                <w:ilvl w:val="1"/>
                <w:numId w:val="2"/>
              </w:numPr>
              <w:spacing w:line="560" w:lineRule="exact"/>
              <w:ind w:firstLine="560"/>
              <w:rPr>
                <w:rFonts w:cs="Times New Roman"/>
                <w:kern w:val="0"/>
                <w:sz w:val="28"/>
                <w:szCs w:val="28"/>
              </w:rPr>
            </w:pPr>
            <w:r>
              <w:rPr>
                <w:rFonts w:cs="Times New Roman"/>
                <w:kern w:val="0"/>
                <w:sz w:val="28"/>
                <w:szCs w:val="28"/>
              </w:rPr>
              <w:t>村庄产业用地选址和指标管控要求应符合相关规范，遵循节约用地原则。原则上商业服务业用地容积率不超过3.5，建筑密度不超过40%，绿地率不小于25%，建筑高度不超60米；工业用地容积率控制在0.8-4.0，建筑密度控制在35%-60%，绿地率不小于20%，建筑高度不超60米；</w:t>
            </w:r>
            <w:r>
              <w:rPr>
                <w:rFonts w:cs="Times New Roman"/>
                <w:sz w:val="28"/>
                <w:szCs w:val="28"/>
              </w:rPr>
              <w:t>仓储用地</w:t>
            </w:r>
            <w:r>
              <w:rPr>
                <w:rFonts w:cs="Times New Roman"/>
                <w:kern w:val="0"/>
                <w:sz w:val="28"/>
                <w:szCs w:val="28"/>
              </w:rPr>
              <w:t>容积率不超过3.5，建筑密度控制在35%-60%，绿地率不小于20%，建筑高度不超50米；如有特殊情况在符合相关部门规定的情况下可适当调整。</w:t>
            </w:r>
          </w:p>
          <w:p w14:paraId="4B0703CC">
            <w:pPr>
              <w:pStyle w:val="13"/>
              <w:numPr>
                <w:ilvl w:val="1"/>
                <w:numId w:val="2"/>
              </w:numPr>
              <w:spacing w:line="560" w:lineRule="exact"/>
              <w:ind w:firstLine="560"/>
              <w:rPr>
                <w:rFonts w:cs="Times New Roman"/>
                <w:kern w:val="0"/>
                <w:sz w:val="28"/>
                <w:szCs w:val="28"/>
              </w:rPr>
            </w:pPr>
            <w:r>
              <w:rPr>
                <w:rFonts w:cs="Times New Roman"/>
                <w:kern w:val="0"/>
                <w:sz w:val="28"/>
                <w:szCs w:val="28"/>
              </w:rPr>
              <w:t>村庄建设边界范围内，经营性用地（含商业、工业、仓储等用地）可以用于公共设施用地（含公共管理与公共服务、公用设施等用地），经营性用地和公共设施用地在各自类别内部可以相互调剂使用。</w:t>
            </w:r>
          </w:p>
          <w:p w14:paraId="3F844C8D">
            <w:pPr>
              <w:pStyle w:val="13"/>
              <w:numPr>
                <w:ilvl w:val="1"/>
                <w:numId w:val="2"/>
              </w:numPr>
              <w:spacing w:line="560" w:lineRule="exact"/>
              <w:ind w:firstLine="560"/>
              <w:rPr>
                <w:rFonts w:cs="Times New Roman"/>
                <w:kern w:val="0"/>
                <w:sz w:val="28"/>
                <w:szCs w:val="28"/>
              </w:rPr>
            </w:pPr>
            <w:r>
              <w:rPr>
                <w:rFonts w:cs="Times New Roman"/>
                <w:kern w:val="0"/>
                <w:sz w:val="28"/>
                <w:szCs w:val="28"/>
              </w:rPr>
              <w:t>利用农村本地资源开展农产品分拣、初加工、发展休闲观光旅游等必需的配套设施建设，可在不占用永久基本农田和生态保护红线等约束条件、符合国土空间规划、不破坏生态环境和乡村风貌的前提下，在村庄建设边界外安排少量建设用地。</w:t>
            </w:r>
          </w:p>
          <w:p w14:paraId="28470637">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六、安全韧性指引</w:t>
            </w:r>
          </w:p>
          <w:p w14:paraId="5300DB07">
            <w:pPr>
              <w:pStyle w:val="13"/>
              <w:numPr>
                <w:ilvl w:val="1"/>
                <w:numId w:val="2"/>
              </w:numPr>
              <w:spacing w:line="560" w:lineRule="exact"/>
              <w:ind w:firstLine="560"/>
              <w:rPr>
                <w:rFonts w:cs="Times New Roman"/>
                <w:kern w:val="0"/>
                <w:sz w:val="28"/>
                <w:szCs w:val="28"/>
              </w:rPr>
            </w:pPr>
            <w:r>
              <w:rPr>
                <w:rFonts w:cs="Times New Roman"/>
                <w:kern w:val="0"/>
                <w:sz w:val="28"/>
                <w:szCs w:val="28"/>
              </w:rPr>
              <w:t>村民的宅基地选址和农房建设须避开自然灾害易发地区。洪涝风险控制线内禁止以下活动：违法违规占用河湖、水库、山塘、蓄滞洪空间和排涝通道等的建筑物、构筑物。擅自填埋、占用控制线范围内水域。影响水系安全的爆破、采石、取土，擅自建设各类排污设施。其他对水系保护构成破坏的活动。</w:t>
            </w:r>
          </w:p>
          <w:p w14:paraId="14A4F08D">
            <w:pPr>
              <w:pStyle w:val="13"/>
              <w:numPr>
                <w:ilvl w:val="1"/>
                <w:numId w:val="2"/>
              </w:numPr>
              <w:spacing w:line="560" w:lineRule="exact"/>
              <w:ind w:firstLine="560"/>
              <w:rPr>
                <w:rFonts w:cs="Times New Roman"/>
                <w:kern w:val="0"/>
                <w:sz w:val="28"/>
                <w:szCs w:val="28"/>
              </w:rPr>
            </w:pPr>
            <w:r>
              <w:rPr>
                <w:rFonts w:cs="Times New Roman"/>
                <w:kern w:val="0"/>
                <w:sz w:val="28"/>
                <w:szCs w:val="28"/>
              </w:rPr>
              <w:t>高速公路、铁路、公路、架空电力线路等交通及市政要素周边建房的应遵循有关法律法规条例的规定与相关主管部门的要求进行建筑退让。</w:t>
            </w:r>
          </w:p>
          <w:p w14:paraId="396BA322">
            <w:pPr>
              <w:pStyle w:val="13"/>
              <w:numPr>
                <w:ilvl w:val="1"/>
                <w:numId w:val="2"/>
              </w:numPr>
              <w:spacing w:line="560" w:lineRule="exact"/>
              <w:ind w:firstLine="560"/>
              <w:rPr>
                <w:rFonts w:cs="Times New Roman"/>
                <w:kern w:val="0"/>
                <w:sz w:val="28"/>
                <w:szCs w:val="28"/>
              </w:rPr>
            </w:pPr>
            <w:r>
              <w:rPr>
                <w:rFonts w:cs="Times New Roman"/>
                <w:kern w:val="0"/>
                <w:sz w:val="28"/>
                <w:szCs w:val="28"/>
              </w:rPr>
              <w:t>村庄建筑的间距和通道的设置应符合村庄消防安全的要求；道路为消防通道，不准长期堆放阻碍交通的杂物。学校、广场等为防灾避险场所，紧急情况下可躲避灾害。</w:t>
            </w:r>
          </w:p>
          <w:p w14:paraId="26BB67F8">
            <w:pPr>
              <w:pStyle w:val="13"/>
              <w:numPr>
                <w:ilvl w:val="1"/>
                <w:numId w:val="2"/>
              </w:numPr>
              <w:spacing w:line="560" w:lineRule="exact"/>
              <w:ind w:firstLine="560"/>
              <w:rPr>
                <w:rFonts w:cs="Times New Roman"/>
                <w:kern w:val="0"/>
                <w:sz w:val="28"/>
                <w:szCs w:val="28"/>
              </w:rPr>
            </w:pPr>
            <w:r>
              <w:rPr>
                <w:rFonts w:cs="Times New Roman"/>
                <w:kern w:val="0"/>
                <w:sz w:val="28"/>
                <w:szCs w:val="28"/>
              </w:rPr>
              <w:t>村庄环路兼起消防通道作用，道路宽度不得小于4米。村主干道和次干道作为紧急疏散通道，用于震时疏散和震后救灾，平时应保持道路的畅通，避免堵塞。道路为消防通道，不准长期堆放阻碍交通的杂物。</w:t>
            </w:r>
          </w:p>
          <w:p w14:paraId="0517BAED">
            <w:pPr>
              <w:pStyle w:val="13"/>
              <w:numPr>
                <w:ilvl w:val="1"/>
                <w:numId w:val="2"/>
              </w:numPr>
              <w:spacing w:line="560" w:lineRule="exact"/>
              <w:ind w:firstLine="560"/>
              <w:rPr>
                <w:rFonts w:cs="Times New Roman"/>
                <w:kern w:val="0"/>
                <w:sz w:val="28"/>
                <w:szCs w:val="28"/>
              </w:rPr>
            </w:pPr>
            <w:r>
              <w:rPr>
                <w:rFonts w:cs="Times New Roman"/>
                <w:kern w:val="0"/>
                <w:sz w:val="28"/>
                <w:szCs w:val="28"/>
              </w:rPr>
              <w:t>健全乡村防灾减灾体系建设。可结合民宿、乡村休闲综合体、旅游酒店、康养设施改造，植入隔离、转移安置、生活救助和健康服务等“急时”功能。利用广场、公园、打谷场等开敞空间，设置应急避难场所。利用公共服务、物流、旅游等设施，嵌入物资储备、应急医疗服务点等应急保障功能。</w:t>
            </w:r>
          </w:p>
          <w:p w14:paraId="6E2A966A">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七、环境保护要求</w:t>
            </w:r>
          </w:p>
          <w:p w14:paraId="431896D8">
            <w:pPr>
              <w:pStyle w:val="13"/>
              <w:numPr>
                <w:ilvl w:val="1"/>
                <w:numId w:val="2"/>
              </w:numPr>
              <w:spacing w:line="560" w:lineRule="exact"/>
              <w:ind w:firstLine="560"/>
              <w:rPr>
                <w:rFonts w:cs="Times New Roman"/>
                <w:kern w:val="0"/>
                <w:sz w:val="28"/>
                <w:szCs w:val="28"/>
              </w:rPr>
            </w:pPr>
            <w:r>
              <w:rPr>
                <w:rFonts w:cs="Times New Roman"/>
                <w:kern w:val="0"/>
                <w:sz w:val="28"/>
                <w:szCs w:val="28"/>
              </w:rPr>
              <w:t>严格保护自然生态，未经许可，任何单位和个人不得挖山取土、采伐、采挖林木，破坏自然山体。</w:t>
            </w:r>
          </w:p>
          <w:p w14:paraId="161C43E4">
            <w:pPr>
              <w:pStyle w:val="13"/>
              <w:numPr>
                <w:ilvl w:val="1"/>
                <w:numId w:val="2"/>
              </w:numPr>
              <w:spacing w:line="560" w:lineRule="exact"/>
              <w:ind w:firstLine="560"/>
              <w:rPr>
                <w:rFonts w:cs="Times New Roman"/>
                <w:kern w:val="0"/>
                <w:sz w:val="28"/>
                <w:szCs w:val="28"/>
              </w:rPr>
            </w:pPr>
            <w:r>
              <w:rPr>
                <w:rFonts w:cs="Times New Roman"/>
                <w:kern w:val="0"/>
                <w:sz w:val="28"/>
                <w:szCs w:val="28"/>
              </w:rPr>
              <w:t>禁止在生态保护区、饮用水源保护区内开展破坏景观资源、污染环境的生产建设活动；镇域范围内杜绝发生破坏野生珍稀动植物与污染环境现象，保护好本村的森林、动物以及生态环境。</w:t>
            </w:r>
          </w:p>
          <w:p w14:paraId="0D79DDF2">
            <w:pPr>
              <w:pStyle w:val="13"/>
              <w:numPr>
                <w:ilvl w:val="1"/>
                <w:numId w:val="2"/>
              </w:numPr>
              <w:spacing w:line="560" w:lineRule="exact"/>
              <w:ind w:firstLine="560"/>
              <w:rPr>
                <w:rFonts w:cs="Times New Roman"/>
                <w:kern w:val="0"/>
                <w:sz w:val="28"/>
                <w:szCs w:val="28"/>
              </w:rPr>
            </w:pPr>
            <w:r>
              <w:rPr>
                <w:rFonts w:cs="Times New Roman"/>
                <w:kern w:val="0"/>
                <w:sz w:val="28"/>
                <w:szCs w:val="28"/>
              </w:rPr>
              <w:t>鼓励庭院绿化，所建房屋与道路及方位错位所产生的多余零星地块，属集体所有，一般作为绿化用地使用，鼓励由村统一规划，村民不得私自占用。</w:t>
            </w:r>
          </w:p>
          <w:p w14:paraId="1F5BB964">
            <w:pPr>
              <w:pStyle w:val="13"/>
              <w:spacing w:before="156" w:beforeLines="50" w:after="156" w:afterLines="50" w:line="560" w:lineRule="exact"/>
              <w:ind w:firstLine="0" w:firstLineChars="0"/>
              <w:rPr>
                <w:rFonts w:cs="Times New Roman"/>
                <w:b/>
                <w:kern w:val="0"/>
                <w:sz w:val="28"/>
                <w:szCs w:val="28"/>
              </w:rPr>
            </w:pPr>
            <w:r>
              <w:rPr>
                <w:rFonts w:cs="Times New Roman"/>
                <w:b/>
                <w:kern w:val="0"/>
                <w:sz w:val="28"/>
                <w:szCs w:val="28"/>
              </w:rPr>
              <w:t>八、历史文化传承与保护</w:t>
            </w:r>
          </w:p>
          <w:p w14:paraId="04507830">
            <w:pPr>
              <w:pStyle w:val="13"/>
              <w:numPr>
                <w:ilvl w:val="1"/>
                <w:numId w:val="2"/>
              </w:numPr>
              <w:spacing w:line="560" w:lineRule="exact"/>
              <w:ind w:firstLine="560"/>
              <w:rPr>
                <w:rFonts w:cs="Times New Roman"/>
                <w:kern w:val="0"/>
                <w:sz w:val="28"/>
                <w:szCs w:val="28"/>
              </w:rPr>
            </w:pPr>
            <w:r>
              <w:rPr>
                <w:rFonts w:cs="Times New Roman"/>
                <w:kern w:val="0"/>
                <w:sz w:val="28"/>
                <w:szCs w:val="28"/>
              </w:rPr>
              <w:t>历史文物保护单位、历史建筑、不可移动文物等历史文化资源，依照相应法律法规、保护规划和上位规划要求进行管控。</w:t>
            </w:r>
          </w:p>
          <w:p w14:paraId="5F66C017">
            <w:pPr>
              <w:pStyle w:val="13"/>
              <w:numPr>
                <w:ilvl w:val="1"/>
                <w:numId w:val="2"/>
              </w:numPr>
              <w:spacing w:line="560" w:lineRule="exact"/>
              <w:ind w:firstLine="560"/>
              <w:rPr>
                <w:rFonts w:cs="Times New Roman"/>
                <w:kern w:val="0"/>
                <w:sz w:val="28"/>
                <w:szCs w:val="28"/>
              </w:rPr>
            </w:pPr>
            <w:r>
              <w:rPr>
                <w:rFonts w:cs="Times New Roman"/>
                <w:kern w:val="0"/>
                <w:sz w:val="28"/>
                <w:szCs w:val="28"/>
              </w:rPr>
              <w:t>保护现有古树名木，对村庄古树名木开展普查并挂牌保护，相关建设项目涉及古树名木的，应当在选址、设计、施工等环节采取避让措施。国家和省重点建设项目确需在古树名木保护范围内进行施工，无法避让的，建设单位应当在施工前制定保护方案，按程序报批，对于违反古树名木管理规定的行为，依法追究责任。</w:t>
            </w:r>
          </w:p>
          <w:p w14:paraId="3633788A">
            <w:pPr>
              <w:pStyle w:val="13"/>
              <w:numPr>
                <w:ilvl w:val="1"/>
                <w:numId w:val="2"/>
              </w:numPr>
              <w:spacing w:line="560" w:lineRule="exact"/>
              <w:ind w:firstLine="560"/>
              <w:rPr>
                <w:rFonts w:cs="Times New Roman"/>
                <w:kern w:val="0"/>
                <w:sz w:val="24"/>
                <w:szCs w:val="24"/>
              </w:rPr>
            </w:pPr>
            <w:r>
              <w:rPr>
                <w:rFonts w:cs="Times New Roman"/>
                <w:kern w:val="0"/>
                <w:sz w:val="28"/>
                <w:szCs w:val="28"/>
              </w:rPr>
              <w:t>对村庄内具有较高文化价值的历史文化要素，应保留原有状况、面貌及环境，并对建筑进行必要的维护和修缮。对于非物质文化遗产，要注重传承人的培养和技艺的传承。</w:t>
            </w:r>
          </w:p>
        </w:tc>
      </w:tr>
    </w:tbl>
    <w:p w14:paraId="795822FA">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307A3FDB">
      <w:pPr>
        <w:pStyle w:val="7"/>
        <w:widowControl/>
        <w:spacing w:beforeAutospacing="0" w:after="300" w:afterAutospacing="0" w:line="560" w:lineRule="exact"/>
        <w:ind w:firstLine="8966" w:firstLineChars="2802"/>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龙川县丰稔镇人民政府</w:t>
      </w:r>
    </w:p>
    <w:p w14:paraId="3B384CC6">
      <w:pPr>
        <w:pStyle w:val="7"/>
        <w:widowControl/>
        <w:tabs>
          <w:tab w:val="left" w:pos="9133"/>
        </w:tabs>
        <w:spacing w:beforeAutospacing="0" w:after="300" w:afterAutospacing="0" w:line="560" w:lineRule="exact"/>
        <w:jc w:val="both"/>
        <w:rPr>
          <w:rFonts w:hint="eastAsia" w:ascii="Times New Roman" w:hAnsi="Times New Roman" w:eastAsia="仿宋_GB2312"/>
          <w:color w:val="000000" w:themeColor="text1"/>
          <w:sz w:val="32"/>
          <w:szCs w:val="32"/>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ab/>
      </w:r>
      <w:r>
        <w:rPr>
          <w:rFonts w:hint="eastAsia" w:ascii="Times New Roman" w:hAnsi="Times New Roman" w:eastAsia="仿宋_GB2312"/>
          <w:color w:val="000000" w:themeColor="text1"/>
          <w:sz w:val="32"/>
          <w:szCs w:val="32"/>
          <w:shd w:val="clear" w:color="auto" w:fill="FFFFFF"/>
          <w:lang w:val="en-US" w:eastAsia="zh-CN"/>
          <w14:textFill>
            <w14:solidFill>
              <w14:schemeClr w14:val="tx1"/>
            </w14:solidFill>
          </w14:textFill>
        </w:rPr>
        <w:t xml:space="preserve"> </w:t>
      </w:r>
      <w:r>
        <w:rPr>
          <w:rFonts w:ascii="Times New Roman" w:hAnsi="Times New Roman" w:eastAsia="仿宋_GB2312"/>
          <w:color w:val="000000" w:themeColor="text1"/>
          <w:sz w:val="32"/>
          <w:szCs w:val="32"/>
          <w:shd w:val="clear" w:color="auto" w:fill="FFFFFF"/>
          <w14:textFill>
            <w14:solidFill>
              <w14:schemeClr w14:val="tx1"/>
            </w14:solidFill>
          </w14:textFill>
        </w:rPr>
        <w:t>2026年7月</w:t>
      </w:r>
      <w:r>
        <w:rPr>
          <w:rFonts w:hint="eastAsia" w:ascii="Times New Roman" w:hAnsi="Times New Roman" w:eastAsia="仿宋_GB2312"/>
          <w:color w:val="000000" w:themeColor="text1"/>
          <w:sz w:val="32"/>
          <w:szCs w:val="32"/>
          <w:shd w:val="clear" w:color="auto" w:fill="FFFFFF"/>
          <w:lang w:val="en-US" w:eastAsia="zh-CN"/>
          <w14:textFill>
            <w14:solidFill>
              <w14:schemeClr w14:val="tx1"/>
            </w14:solidFill>
          </w14:textFill>
        </w:rPr>
        <w:t>13</w:t>
      </w:r>
      <w:r>
        <w:rPr>
          <w:rFonts w:ascii="Times New Roman" w:hAnsi="Times New Roman" w:eastAsia="仿宋_GB2312"/>
          <w:color w:val="000000" w:themeColor="text1"/>
          <w:sz w:val="32"/>
          <w:szCs w:val="32"/>
          <w:shd w:val="clear" w:color="auto" w:fill="FFFFFF"/>
          <w14:textFill>
            <w14:solidFill>
              <w14:schemeClr w14:val="tx1"/>
            </w14:solidFill>
          </w14:textFill>
        </w:rPr>
        <w:t>日</w:t>
      </w:r>
    </w:p>
    <w:p w14:paraId="55E7BD7C">
      <w:pPr>
        <w:pStyle w:val="7"/>
        <w:widowControl/>
        <w:spacing w:beforeAutospacing="0" w:after="300" w:afterAutospacing="0" w:line="560" w:lineRule="exact"/>
        <w:ind w:firstLine="640"/>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 xml:space="preserve">  附图：1.镇域国土空间总体格局规划图</w:t>
      </w:r>
    </w:p>
    <w:p w14:paraId="489EE5FF">
      <w:pPr>
        <w:pStyle w:val="7"/>
        <w:widowControl/>
        <w:spacing w:beforeAutospacing="0" w:after="300" w:afterAutospacing="0" w:line="560" w:lineRule="exact"/>
        <w:ind w:firstLine="1929" w:firstLineChars="603"/>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2.镇域国土空间控制</w:t>
      </w:r>
      <w:r>
        <w:rPr>
          <w:rFonts w:hint="eastAsia" w:ascii="Times New Roman" w:hAnsi="Times New Roman" w:eastAsia="仿宋_GB2312"/>
          <w:color w:val="000000" w:themeColor="text1"/>
          <w:sz w:val="32"/>
          <w:szCs w:val="32"/>
          <w:shd w:val="clear" w:color="auto" w:fill="FFFFFF"/>
          <w14:textFill>
            <w14:solidFill>
              <w14:schemeClr w14:val="tx1"/>
            </w14:solidFill>
          </w14:textFill>
        </w:rPr>
        <w:t>线</w:t>
      </w:r>
      <w:r>
        <w:rPr>
          <w:rFonts w:ascii="Times New Roman" w:hAnsi="Times New Roman" w:eastAsia="仿宋_GB2312"/>
          <w:color w:val="000000" w:themeColor="text1"/>
          <w:sz w:val="32"/>
          <w:szCs w:val="32"/>
          <w:shd w:val="clear" w:color="auto" w:fill="FFFFFF"/>
          <w14:textFill>
            <w14:solidFill>
              <w14:schemeClr w14:val="tx1"/>
            </w14:solidFill>
          </w14:textFill>
        </w:rPr>
        <w:t>规划图</w:t>
      </w:r>
    </w:p>
    <w:p w14:paraId="14328FFF">
      <w:pPr>
        <w:pStyle w:val="7"/>
        <w:widowControl/>
        <w:spacing w:beforeAutospacing="0" w:after="300" w:afterAutospacing="0" w:line="560" w:lineRule="exact"/>
        <w:ind w:firstLine="1929" w:firstLineChars="603"/>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3.镇域国土空间用地规划图</w:t>
      </w:r>
    </w:p>
    <w:p w14:paraId="5C7F58EF">
      <w:pPr>
        <w:pStyle w:val="7"/>
        <w:widowControl/>
        <w:spacing w:beforeAutospacing="0" w:after="300" w:afterAutospacing="0" w:line="560" w:lineRule="exact"/>
        <w:ind w:firstLine="1929" w:firstLineChars="603"/>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4.镇域城乡生活圈和公共服务设施规划图</w:t>
      </w:r>
    </w:p>
    <w:p w14:paraId="5EB2F85B">
      <w:pPr>
        <w:pStyle w:val="7"/>
        <w:widowControl/>
        <w:spacing w:beforeAutospacing="0" w:after="300" w:afterAutospacing="0" w:line="560" w:lineRule="exact"/>
        <w:ind w:firstLine="1929" w:firstLineChars="603"/>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5.镇域基础设施规划图</w:t>
      </w:r>
    </w:p>
    <w:p w14:paraId="3FD2E882">
      <w:pPr>
        <w:pStyle w:val="7"/>
        <w:widowControl/>
        <w:spacing w:beforeAutospacing="0" w:after="300" w:afterAutospacing="0" w:line="560" w:lineRule="exact"/>
        <w:ind w:firstLine="1929" w:firstLineChars="603"/>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6.镇域城镇（村）体系规划图</w:t>
      </w:r>
    </w:p>
    <w:p w14:paraId="585C29AD">
      <w:pPr>
        <w:pStyle w:val="7"/>
        <w:widowControl/>
        <w:spacing w:beforeAutospacing="0" w:after="300" w:afterAutospacing="0" w:line="560" w:lineRule="exact"/>
        <w:ind w:firstLine="1929" w:firstLineChars="603"/>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rFonts w:ascii="Times New Roman" w:hAnsi="Times New Roman" w:eastAsia="仿宋_GB2312"/>
          <w:color w:val="000000" w:themeColor="text1"/>
          <w:sz w:val="32"/>
          <w:szCs w:val="32"/>
          <w:shd w:val="clear" w:color="auto" w:fill="FFFFFF"/>
          <w14:textFill>
            <w14:solidFill>
              <w14:schemeClr w14:val="tx1"/>
            </w14:solidFill>
          </w14:textFill>
        </w:rPr>
        <w:t>7.镇区土地使用规划图</w:t>
      </w:r>
    </w:p>
    <w:p w14:paraId="24FA8E7D">
      <w:pPr>
        <w:pStyle w:val="7"/>
        <w:widowControl/>
        <w:spacing w:beforeAutospacing="0" w:after="30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p>
    <w:p w14:paraId="4B303977">
      <w:pPr>
        <w:pStyle w:val="7"/>
        <w:widowControl/>
        <w:spacing w:beforeAutospacing="0" w:after="30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pPr>
      <w:r>
        <w:rPr>
          <w:color w:val="000000" w:themeColor="text1"/>
          <w14:textFill>
            <w14:solidFill>
              <w14:schemeClr w14:val="tx1"/>
            </w14:solidFill>
          </w14:textFill>
        </w:rPr>
        <w:pict>
          <v:shape id="_x0000_s1028" o:spid="_x0000_s1028" o:spt="75" type="#_x0000_t75" style="position:absolute;left:0pt;margin-left:-22.7pt;margin-top:13.4pt;height:934.5pt;width:660.75pt;mso-wrap-distance-bottom:0pt;mso-wrap-distance-top:0pt;z-index:251659264;mso-width-relative:page;mso-height-relative:page;" filled="f" o:preferrelative="t" stroked="f" coordsize="21600,21600">
            <v:path/>
            <v:fill on="f" focussize="0,0"/>
            <v:stroke on="f" joinstyle="miter"/>
            <v:imagedata r:id="rId4" o:title="02-丰稔镇国土空间总体规划(2021-2035年)图集(2)(1)_页面_09"/>
            <o:lock v:ext="edit" aspectratio="t"/>
            <w10:wrap type="topAndBottom"/>
          </v:shape>
        </w:pict>
      </w:r>
    </w:p>
    <w:p w14:paraId="63BB2269">
      <w:pPr>
        <w:pStyle w:val="7"/>
        <w:widowControl/>
        <w:spacing w:beforeAutospacing="0" w:after="300" w:afterAutospacing="0" w:line="560" w:lineRule="exact"/>
        <w:jc w:val="both"/>
        <w:rPr>
          <w:rFonts w:ascii="Times New Roman" w:hAnsi="Times New Roman" w:eastAsia="仿宋_GB2312"/>
          <w:color w:val="000000" w:themeColor="text1"/>
          <w:sz w:val="32"/>
          <w:szCs w:val="32"/>
          <w:shd w:val="clear" w:color="auto" w:fill="FFFFFF"/>
          <w14:textFill>
            <w14:solidFill>
              <w14:schemeClr w14:val="tx1"/>
            </w14:solidFill>
          </w14:textFill>
        </w:rPr>
        <w:sectPr>
          <w:pgSz w:w="16838" w:h="23811"/>
          <w:pgMar w:top="1440" w:right="1800" w:bottom="1440" w:left="1800" w:header="851" w:footer="992" w:gutter="0"/>
          <w:cols w:space="425" w:num="1"/>
          <w:docGrid w:type="lines" w:linePitch="312" w:charSpace="0"/>
        </w:sectPr>
      </w:pPr>
      <w:r>
        <w:rPr>
          <w:rFonts w:ascii="Times New Roman" w:hAnsi="Times New Roman" w:eastAsia="仿宋_GB2312"/>
          <w:color w:val="000000" w:themeColor="text1"/>
          <w:sz w:val="32"/>
          <w:szCs w:val="32"/>
          <w:shd w:val="clear" w:color="auto" w:fill="FFFFFF"/>
          <w14:textFill>
            <w14:solidFill>
              <w14:schemeClr w14:val="tx1"/>
            </w14:solidFill>
          </w14:textFill>
        </w:rPr>
        <w:drawing>
          <wp:anchor distT="0" distB="0" distL="114300" distR="114300" simplePos="0" relativeHeight="251660288" behindDoc="0" locked="0" layoutInCell="1" allowOverlap="1">
            <wp:simplePos x="0" y="0"/>
            <wp:positionH relativeFrom="margin">
              <wp:align>left</wp:align>
            </wp:positionH>
            <wp:positionV relativeFrom="paragraph">
              <wp:posOffset>318770</wp:posOffset>
            </wp:positionV>
            <wp:extent cx="8510905" cy="12029440"/>
            <wp:effectExtent l="0" t="0" r="4445" b="0"/>
            <wp:wrapTopAndBottom/>
            <wp:docPr id="2" name="图片 2" descr="C:\Users\Administrator\Desktop\新建文件夹\02丰\02-丰稔镇国土空间总体规划(2021-2035年)图集(2)(1)_页面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Administrator\Desktop\新建文件夹\02丰\02-丰稔镇国土空间总体规划(2021-2035年)图集(2)(1)_页面_1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8510905" cy="12029440"/>
                    </a:xfrm>
                    <a:prstGeom prst="rect">
                      <a:avLst/>
                    </a:prstGeom>
                    <a:noFill/>
                    <a:ln>
                      <a:noFill/>
                    </a:ln>
                  </pic:spPr>
                </pic:pic>
              </a:graphicData>
            </a:graphic>
          </wp:anchor>
        </w:drawing>
      </w:r>
    </w:p>
    <w:p w14:paraId="0F8E4BC2">
      <w:pPr>
        <w:pStyle w:val="2"/>
        <w:ind w:left="0" w:firstLine="0" w:firstLineChars="0"/>
        <w:rPr>
          <w:rFonts w:cs="Times New Roman"/>
          <w:color w:val="000000" w:themeColor="text1"/>
          <w14:textFill>
            <w14:solidFill>
              <w14:schemeClr w14:val="tx1"/>
            </w14:solidFill>
          </w14:textFill>
        </w:rPr>
      </w:pPr>
    </w:p>
    <w:p w14:paraId="1671B72F">
      <w:pPr>
        <w:pStyle w:val="2"/>
        <w:ind w:left="0" w:firstLine="0" w:firstLineChars="0"/>
        <w:rPr>
          <w:rFonts w:cs="Times New Roman"/>
          <w:color w:val="000000" w:themeColor="text1"/>
          <w14:textFill>
            <w14:solidFill>
              <w14:schemeClr w14:val="tx1"/>
            </w14:solidFill>
          </w14:textFill>
        </w:rPr>
      </w:pPr>
      <w:r>
        <w:rPr>
          <w:color w:val="000000" w:themeColor="text1"/>
          <w14:textFill>
            <w14:solidFill>
              <w14:schemeClr w14:val="tx1"/>
            </w14:solidFill>
          </w14:textFill>
        </w:rPr>
        <w:pict>
          <v:shape id="_x0000_s1029" o:spid="_x0000_s1029" o:spt="75" type="#_x0000_t75" style="position:absolute;left:0pt;margin-left:-14.85pt;margin-top:27.3pt;height:934.15pt;width:661.1pt;mso-wrap-distance-bottom:0pt;mso-wrap-distance-top:0pt;z-index:251661312;mso-width-relative:page;mso-height-relative:page;" filled="f" o:preferrelative="t" stroked="f" coordsize="21600,21600">
            <v:path/>
            <v:fill on="f" focussize="0,0"/>
            <v:stroke on="f" joinstyle="miter"/>
            <v:imagedata r:id="rId6" o:title="02-丰稔镇国土空间总体规划(2021-2035年)图集(2)(1)_页面_14"/>
            <o:lock v:ext="edit" aspectratio="t"/>
            <w10:wrap type="topAndBottom"/>
          </v:shape>
        </w:pict>
      </w:r>
    </w:p>
    <w:p w14:paraId="46F161B8">
      <w:pPr>
        <w:pStyle w:val="2"/>
        <w:ind w:left="0" w:firstLine="0" w:firstLineChars="0"/>
        <w:rPr>
          <w:rFonts w:cs="Times New Roman"/>
          <w:color w:val="000000" w:themeColor="text1"/>
          <w14:textFill>
            <w14:solidFill>
              <w14:schemeClr w14:val="tx1"/>
            </w14:solidFill>
          </w14:textFill>
        </w:rPr>
      </w:pPr>
    </w:p>
    <w:p w14:paraId="3C51B286">
      <w:pPr>
        <w:pStyle w:val="2"/>
        <w:ind w:left="0" w:firstLine="0" w:firstLineChars="0"/>
        <w:rPr>
          <w:rFonts w:cs="Times New Roman"/>
          <w:color w:val="000000" w:themeColor="text1"/>
          <w14:textFill>
            <w14:solidFill>
              <w14:schemeClr w14:val="tx1"/>
            </w14:solidFill>
          </w14:textFill>
        </w:rPr>
      </w:pPr>
    </w:p>
    <w:p w14:paraId="63CE249C">
      <w:pPr>
        <w:pStyle w:val="2"/>
        <w:ind w:left="0" w:firstLine="0" w:firstLineChars="0"/>
        <w:rPr>
          <w:rFonts w:cs="Times New Roman"/>
          <w:color w:val="000000" w:themeColor="text1"/>
          <w14:textFill>
            <w14:solidFill>
              <w14:schemeClr w14:val="tx1"/>
            </w14:solidFill>
          </w14:textFill>
        </w:rPr>
      </w:pPr>
      <w:r>
        <w:rPr>
          <w:color w:val="000000" w:themeColor="text1"/>
          <w14:textFill>
            <w14:solidFill>
              <w14:schemeClr w14:val="tx1"/>
            </w14:solidFill>
          </w14:textFill>
        </w:rPr>
        <w:pict>
          <v:shape id="_x0000_s1030" o:spid="_x0000_s1030" o:spt="75" type="#_x0000_t75" style="position:absolute;left:0pt;margin-left:3.75pt;margin-top:7.45pt;height:934.15pt;width:661.1pt;mso-wrap-distance-bottom:0pt;mso-wrap-distance-top:0pt;z-index:251662336;mso-width-relative:page;mso-height-relative:page;" filled="f" o:preferrelative="t" stroked="f" coordsize="21600,21600">
            <v:path/>
            <v:fill on="f" focussize="0,0"/>
            <v:stroke on="f" joinstyle="miter"/>
            <v:imagedata r:id="rId7" o:title="02-丰稔镇国土空间总体规划(2021-2035年)图集(2)(1)_页面_17"/>
            <o:lock v:ext="edit" aspectratio="t"/>
            <w10:wrap type="topAndBottom"/>
          </v:shape>
        </w:pict>
      </w:r>
    </w:p>
    <w:p w14:paraId="48FAC07F">
      <w:pPr>
        <w:pStyle w:val="2"/>
        <w:ind w:left="0" w:firstLine="0" w:firstLineChars="0"/>
        <w:rPr>
          <w:rFonts w:cs="Times New Roman"/>
          <w:color w:val="000000" w:themeColor="text1"/>
          <w14:textFill>
            <w14:solidFill>
              <w14:schemeClr w14:val="tx1"/>
            </w14:solidFill>
          </w14:textFill>
        </w:rPr>
      </w:pPr>
    </w:p>
    <w:p w14:paraId="52551D19">
      <w:pPr>
        <w:pStyle w:val="2"/>
        <w:ind w:left="0" w:firstLine="0" w:firstLineChars="0"/>
        <w:rPr>
          <w:rFonts w:cs="Times New Roman"/>
          <w:color w:val="000000" w:themeColor="text1"/>
          <w14:textFill>
            <w14:solidFill>
              <w14:schemeClr w14:val="tx1"/>
            </w14:solidFill>
          </w14:textFill>
        </w:rPr>
      </w:pPr>
      <w:r>
        <w:rPr>
          <w:color w:val="000000" w:themeColor="text1"/>
          <w14:textFill>
            <w14:solidFill>
              <w14:schemeClr w14:val="tx1"/>
            </w14:solidFill>
          </w14:textFill>
        </w:rPr>
        <w:pict>
          <v:shape id="_x0000_s1031" o:spid="_x0000_s1031" o:spt="75" type="#_x0000_t75" style="position:absolute;left:0pt;margin-left:-1.2pt;margin-top:10.25pt;height:935.05pt;width:661.1pt;mso-wrap-distance-bottom:0pt;mso-wrap-distance-top:0pt;z-index:251663360;mso-width-relative:page;mso-height-relative:page;" filled="f" o:preferrelative="t" stroked="f" coordsize="21600,21600">
            <v:path/>
            <v:fill on="f" focussize="0,0"/>
            <v:stroke on="f" joinstyle="miter"/>
            <v:imagedata r:id="rId8" o:title="02-丰稔镇国土空间总体规划(2021-2035年)图集(2)(1)_页面_19"/>
            <o:lock v:ext="edit" aspectratio="t"/>
            <w10:wrap type="topAndBottom"/>
          </v:shape>
        </w:pict>
      </w:r>
    </w:p>
    <w:p w14:paraId="5394C281">
      <w:pPr>
        <w:pStyle w:val="2"/>
        <w:ind w:left="0" w:firstLine="0" w:firstLineChars="0"/>
        <w:rPr>
          <w:rFonts w:cs="Times New Roman"/>
          <w:color w:val="000000" w:themeColor="text1"/>
          <w14:textFill>
            <w14:solidFill>
              <w14:schemeClr w14:val="tx1"/>
            </w14:solidFill>
          </w14:textFill>
        </w:rPr>
      </w:pPr>
    </w:p>
    <w:p w14:paraId="02A2E763">
      <w:pPr>
        <w:pStyle w:val="2"/>
        <w:ind w:left="0"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pict>
          <v:shape id="_x0000_i1025" o:spt="75" type="#_x0000_t75" style="height:934.75pt;width:661.15pt;" filled="f" o:preferrelative="t" stroked="f" coordsize="21600,21600">
            <v:path/>
            <v:fill on="f" focussize="0,0"/>
            <v:stroke on="f" joinstyle="miter"/>
            <v:imagedata r:id="rId9" o:title="02-丰稔镇国土空间总体规划(2021-2035年)图集(2)(1)_页面_12"/>
            <o:lock v:ext="edit" aspectratio="t"/>
            <w10:wrap type="none"/>
            <w10:anchorlock/>
          </v:shape>
        </w:pict>
      </w:r>
    </w:p>
    <w:p w14:paraId="1497F928">
      <w:pPr>
        <w:pStyle w:val="2"/>
        <w:ind w:left="0" w:firstLine="0" w:firstLineChars="0"/>
        <w:rPr>
          <w:rFonts w:cs="Times New Roman"/>
          <w:color w:val="000000" w:themeColor="text1"/>
          <w14:textFill>
            <w14:solidFill>
              <w14:schemeClr w14:val="tx1"/>
            </w14:solidFill>
          </w14:textFill>
        </w:rPr>
      </w:pPr>
      <w:r>
        <w:rPr>
          <w:rFonts w:cs="Times New Roman"/>
          <w:color w:val="000000" w:themeColor="text1"/>
          <w14:textFill>
            <w14:solidFill>
              <w14:schemeClr w14:val="tx1"/>
            </w14:solidFill>
          </w14:textFill>
        </w:rPr>
        <w:pict>
          <v:shape id="_x0000_i1026" o:spt="75" type="#_x0000_t75" style="height:929.75pt;width:661.75pt;" filled="f" o:preferrelative="t" stroked="f" coordsize="21600,21600">
            <v:path/>
            <v:fill on="f" focussize="0,0"/>
            <v:stroke on="f" joinstyle="miter"/>
            <v:imagedata r:id="rId10" o:title="02-丰稔镇国土空间总体规划(2021-2035年)图集(2)(1)_页面_24"/>
            <o:lock v:ext="edit" aspectratio="t"/>
            <w10:wrap type="none"/>
            <w10:anchorlock/>
          </v:shape>
        </w:pict>
      </w:r>
    </w:p>
    <w:p w14:paraId="6956816C">
      <w:pPr>
        <w:pStyle w:val="2"/>
        <w:ind w:left="0" w:firstLine="0" w:firstLineChars="0"/>
        <w:rPr>
          <w:rFonts w:cs="Times New Roman"/>
          <w:color w:val="000000" w:themeColor="text1"/>
          <w14:textFill>
            <w14:solidFill>
              <w14:schemeClr w14:val="tx1"/>
            </w14:solidFill>
          </w14:textFill>
        </w:rPr>
      </w:pPr>
    </w:p>
    <w:sectPr>
      <w:type w:val="continuous"/>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4C30C0"/>
    <w:multiLevelType w:val="multilevel"/>
    <w:tmpl w:val="204C30C0"/>
    <w:lvl w:ilvl="0" w:tentative="0">
      <w:start w:val="1"/>
      <w:numFmt w:val="decimal"/>
      <w:pStyle w:val="14"/>
      <w:suff w:val="space"/>
      <w:lvlText w:val="第%1条"/>
      <w:lvlJc w:val="left"/>
      <w:pPr>
        <w:ind w:left="420" w:hanging="420"/>
      </w:pPr>
      <w:rPr>
        <w:rFonts w:hint="default" w:ascii="Times New Roman" w:hAnsi="Times New Roman" w:eastAsia="黑体"/>
        <w:b w:val="0"/>
        <w:bCs w:val="0"/>
        <w:i w:val="0"/>
        <w:sz w:val="30"/>
        <w:szCs w:val="30"/>
        <w:lang w:val="en-US"/>
      </w:rPr>
    </w:lvl>
    <w:lvl w:ilvl="1" w:tentative="0">
      <w:start w:val="1"/>
      <w:numFmt w:val="lowerLetter"/>
      <w:lvlText w:val="%2)"/>
      <w:lvlJc w:val="left"/>
      <w:pPr>
        <w:ind w:left="0" w:firstLine="0"/>
      </w:pPr>
      <w:rPr>
        <w:rFonts w:hint="eastAsia"/>
      </w:rPr>
    </w:lvl>
    <w:lvl w:ilvl="2" w:tentative="0">
      <w:start w:val="1"/>
      <w:numFmt w:val="lowerRoman"/>
      <w:lvlText w:val="%3."/>
      <w:lvlJc w:val="right"/>
      <w:pPr>
        <w:ind w:left="0" w:firstLine="0"/>
      </w:pPr>
      <w:rPr>
        <w:rFonts w:hint="eastAsia"/>
      </w:rPr>
    </w:lvl>
    <w:lvl w:ilvl="3" w:tentative="0">
      <w:start w:val="1"/>
      <w:numFmt w:val="decimal"/>
      <w:lvlText w:val="%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abstractNum w:abstractNumId="1">
    <w:nsid w:val="385E3315"/>
    <w:multiLevelType w:val="multilevel"/>
    <w:tmpl w:val="385E3315"/>
    <w:lvl w:ilvl="0" w:tentative="0">
      <w:start w:val="1"/>
      <w:numFmt w:val="decimal"/>
      <w:suff w:val="space"/>
      <w:lvlText w:val="第%1条"/>
      <w:lvlJc w:val="left"/>
      <w:pPr>
        <w:ind w:left="420" w:hanging="420"/>
      </w:pPr>
      <w:rPr>
        <w:rFonts w:hint="default" w:ascii="Times New Roman" w:hAnsi="Times New Roman" w:eastAsia="黑体"/>
        <w:b w:val="0"/>
        <w:bCs w:val="0"/>
        <w:i w:val="0"/>
        <w:sz w:val="30"/>
        <w:szCs w:val="30"/>
        <w:lang w:val="en-US"/>
      </w:rPr>
    </w:lvl>
    <w:lvl w:ilvl="1" w:tentative="0">
      <w:start w:val="1"/>
      <w:numFmt w:val="decimal"/>
      <w:lvlText w:val="%2."/>
      <w:lvlJc w:val="left"/>
      <w:pPr>
        <w:ind w:left="0" w:firstLine="0"/>
      </w:pPr>
      <w:rPr>
        <w:rFonts w:hint="eastAsia"/>
      </w:rPr>
    </w:lvl>
    <w:lvl w:ilvl="2" w:tentative="0">
      <w:start w:val="1"/>
      <w:numFmt w:val="lowerRoman"/>
      <w:lvlText w:val="%3."/>
      <w:lvlJc w:val="right"/>
      <w:pPr>
        <w:ind w:left="0" w:firstLine="0"/>
      </w:pPr>
      <w:rPr>
        <w:rFonts w:hint="eastAsia"/>
      </w:rPr>
    </w:lvl>
    <w:lvl w:ilvl="3" w:tentative="0">
      <w:start w:val="1"/>
      <w:numFmt w:val="decimal"/>
      <w:lvlText w:val="%4."/>
      <w:lvlJc w:val="left"/>
      <w:pPr>
        <w:ind w:left="0" w:firstLine="0"/>
      </w:pPr>
      <w:rPr>
        <w:rFonts w:hint="eastAsia"/>
      </w:rPr>
    </w:lvl>
    <w:lvl w:ilvl="4" w:tentative="0">
      <w:start w:val="1"/>
      <w:numFmt w:val="lowerLetter"/>
      <w:lvlText w:val="%5)"/>
      <w:lvlJc w:val="left"/>
      <w:pPr>
        <w:ind w:left="0" w:firstLine="0"/>
      </w:pPr>
      <w:rPr>
        <w:rFonts w:hint="eastAsia"/>
      </w:rPr>
    </w:lvl>
    <w:lvl w:ilvl="5" w:tentative="0">
      <w:start w:val="1"/>
      <w:numFmt w:val="lowerRoman"/>
      <w:lvlText w:val="%6."/>
      <w:lvlJc w:val="right"/>
      <w:pPr>
        <w:ind w:left="0" w:firstLine="0"/>
      </w:pPr>
      <w:rPr>
        <w:rFonts w:hint="eastAsia"/>
      </w:rPr>
    </w:lvl>
    <w:lvl w:ilvl="6" w:tentative="0">
      <w:start w:val="1"/>
      <w:numFmt w:val="decimal"/>
      <w:lvlText w:val="%7."/>
      <w:lvlJc w:val="left"/>
      <w:pPr>
        <w:ind w:left="0" w:firstLine="0"/>
      </w:pPr>
      <w:rPr>
        <w:rFonts w:hint="eastAsia"/>
      </w:rPr>
    </w:lvl>
    <w:lvl w:ilvl="7" w:tentative="0">
      <w:start w:val="1"/>
      <w:numFmt w:val="lowerLetter"/>
      <w:lvlText w:val="%8)"/>
      <w:lvlJc w:val="left"/>
      <w:pPr>
        <w:ind w:left="0" w:firstLine="0"/>
      </w:pPr>
      <w:rPr>
        <w:rFonts w:hint="eastAsia"/>
      </w:rPr>
    </w:lvl>
    <w:lvl w:ilvl="8" w:tentative="0">
      <w:start w:val="1"/>
      <w:numFmt w:val="lowerRoman"/>
      <w:lvlText w:val="%9."/>
      <w:lvlJc w:val="right"/>
      <w:pPr>
        <w:ind w:left="0" w:firstLine="0"/>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0D5F8C"/>
    <w:rsid w:val="00000700"/>
    <w:rsid w:val="001D1BE0"/>
    <w:rsid w:val="00254A4C"/>
    <w:rsid w:val="004064C6"/>
    <w:rsid w:val="004A5A8D"/>
    <w:rsid w:val="004C331A"/>
    <w:rsid w:val="006162CE"/>
    <w:rsid w:val="00760BEE"/>
    <w:rsid w:val="007D1372"/>
    <w:rsid w:val="007D3314"/>
    <w:rsid w:val="008110A9"/>
    <w:rsid w:val="00851FCE"/>
    <w:rsid w:val="00973CBC"/>
    <w:rsid w:val="00A117EB"/>
    <w:rsid w:val="00A90995"/>
    <w:rsid w:val="00A9145D"/>
    <w:rsid w:val="00AE65B4"/>
    <w:rsid w:val="00B37450"/>
    <w:rsid w:val="00BE0F13"/>
    <w:rsid w:val="00CA3394"/>
    <w:rsid w:val="00CB6C58"/>
    <w:rsid w:val="00CC3D54"/>
    <w:rsid w:val="00CF589E"/>
    <w:rsid w:val="00D36724"/>
    <w:rsid w:val="00D56AC6"/>
    <w:rsid w:val="00E25C51"/>
    <w:rsid w:val="00E938F7"/>
    <w:rsid w:val="00F32939"/>
    <w:rsid w:val="00F36E16"/>
    <w:rsid w:val="00F603F9"/>
    <w:rsid w:val="068C3E93"/>
    <w:rsid w:val="073C52F6"/>
    <w:rsid w:val="09271C52"/>
    <w:rsid w:val="0A4421F1"/>
    <w:rsid w:val="0DC42F04"/>
    <w:rsid w:val="15E36499"/>
    <w:rsid w:val="19991AC8"/>
    <w:rsid w:val="1D0D5F8C"/>
    <w:rsid w:val="1E0314DD"/>
    <w:rsid w:val="1E9621D4"/>
    <w:rsid w:val="1FA12FAD"/>
    <w:rsid w:val="226F54B5"/>
    <w:rsid w:val="24715ECA"/>
    <w:rsid w:val="25071255"/>
    <w:rsid w:val="26C273DC"/>
    <w:rsid w:val="27173416"/>
    <w:rsid w:val="274A7179"/>
    <w:rsid w:val="2ED95618"/>
    <w:rsid w:val="329B6D03"/>
    <w:rsid w:val="366127E7"/>
    <w:rsid w:val="3DF102E0"/>
    <w:rsid w:val="401152D1"/>
    <w:rsid w:val="4082350E"/>
    <w:rsid w:val="413B671E"/>
    <w:rsid w:val="43CC3FD9"/>
    <w:rsid w:val="44470240"/>
    <w:rsid w:val="4A1D106A"/>
    <w:rsid w:val="4A3E0B30"/>
    <w:rsid w:val="537C655C"/>
    <w:rsid w:val="549E1BBE"/>
    <w:rsid w:val="574F250D"/>
    <w:rsid w:val="57D102B9"/>
    <w:rsid w:val="62F408F0"/>
    <w:rsid w:val="656301A7"/>
    <w:rsid w:val="65C745A9"/>
    <w:rsid w:val="66256DBE"/>
    <w:rsid w:val="6AC938C2"/>
    <w:rsid w:val="6CBC78E1"/>
    <w:rsid w:val="716B13F9"/>
    <w:rsid w:val="724209B8"/>
    <w:rsid w:val="773F0ACE"/>
    <w:rsid w:val="7B0D2D0B"/>
    <w:rsid w:val="7FCC39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5">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spacing w:before="100" w:beforeAutospacing="1"/>
      <w:ind w:left="200" w:firstLine="200" w:firstLineChars="200"/>
    </w:pPr>
    <w:rPr>
      <w:rFonts w:ascii="Times New Roman" w:hAnsi="Times New Roman" w:eastAsia="仿宋_GB2312"/>
      <w:szCs w:val="32"/>
    </w:rPr>
  </w:style>
  <w:style w:type="paragraph" w:styleId="3">
    <w:name w:val="Body Text Indent"/>
    <w:basedOn w:val="1"/>
    <w:qFormat/>
    <w:uiPriority w:val="99"/>
    <w:pPr>
      <w:ind w:firstLine="419" w:firstLineChars="131"/>
    </w:pPr>
    <w:rPr>
      <w:sz w:val="32"/>
    </w:rPr>
  </w:style>
  <w:style w:type="paragraph" w:styleId="6">
    <w:name w:val="annotation text"/>
    <w:basedOn w:val="1"/>
    <w:unhideWhenUsed/>
    <w:qFormat/>
    <w:uiPriority w:val="99"/>
    <w:pPr>
      <w:spacing w:line="560" w:lineRule="exact"/>
      <w:ind w:firstLine="640" w:firstLineChars="200"/>
    </w:pPr>
    <w:rPr>
      <w:rFonts w:ascii="仿宋" w:hAnsi="仿宋" w:eastAsia="仿宋"/>
      <w:sz w:val="32"/>
      <w:szCs w:val="32"/>
    </w:rPr>
  </w:style>
  <w:style w:type="paragraph" w:styleId="7">
    <w:name w:val="Normal (Web)"/>
    <w:basedOn w:val="1"/>
    <w:qFormat/>
    <w:uiPriority w:val="0"/>
    <w:pPr>
      <w:spacing w:beforeAutospacing="1" w:afterAutospacing="1"/>
      <w:jc w:val="left"/>
    </w:pPr>
    <w:rPr>
      <w:rFonts w:cs="Times New Roman"/>
      <w:kern w:val="0"/>
      <w:sz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qFormat/>
    <w:uiPriority w:val="0"/>
    <w:rPr>
      <w:color w:val="0000FF"/>
      <w:u w:val="single"/>
    </w:rPr>
  </w:style>
  <w:style w:type="paragraph" w:customStyle="1" w:styleId="13">
    <w:name w:val="jx-正文"/>
    <w:basedOn w:val="1"/>
    <w:qFormat/>
    <w:uiPriority w:val="0"/>
    <w:pPr>
      <w:ind w:firstLine="600" w:firstLineChars="200"/>
    </w:pPr>
    <w:rPr>
      <w:rFonts w:ascii="Times New Roman" w:hAnsi="Times New Roman" w:eastAsia="仿宋_GB2312"/>
      <w:color w:val="000000" w:themeColor="text1"/>
      <w:sz w:val="30"/>
      <w:szCs w:val="30"/>
      <w14:textFill>
        <w14:solidFill>
          <w14:schemeClr w14:val="tx1"/>
        </w14:solidFill>
      </w14:textFill>
    </w:rPr>
  </w:style>
  <w:style w:type="paragraph" w:customStyle="1" w:styleId="14">
    <w:name w:val="jx-三级1"/>
    <w:basedOn w:val="15"/>
    <w:qFormat/>
    <w:uiPriority w:val="0"/>
    <w:pPr>
      <w:numPr>
        <w:ilvl w:val="0"/>
        <w:numId w:val="1"/>
      </w:numPr>
    </w:pPr>
    <w:rPr>
      <w:b w:val="0"/>
    </w:rPr>
  </w:style>
  <w:style w:type="paragraph" w:customStyle="1" w:styleId="15">
    <w:name w:val="jx-三级"/>
    <w:basedOn w:val="1"/>
    <w:qFormat/>
    <w:uiPriority w:val="0"/>
    <w:pPr>
      <w:keepNext/>
      <w:keepLines/>
      <w:spacing w:before="50" w:beforeLines="50" w:after="50" w:afterLines="50"/>
      <w:outlineLvl w:val="2"/>
    </w:pPr>
    <w:rPr>
      <w:rFonts w:ascii="Times New Roman" w:hAnsi="Times New Roman" w:eastAsia="黑体"/>
      <w:b/>
      <w:bCs/>
      <w:color w:val="000000" w:themeColor="text1"/>
      <w:sz w:val="30"/>
      <w:szCs w:val="30"/>
      <w14:textFill>
        <w14:solidFill>
          <w14:schemeClr w14:val="tx1"/>
        </w14:solidFill>
      </w14:textFill>
    </w:rPr>
  </w:style>
  <w:style w:type="paragraph" w:customStyle="1" w:styleId="16">
    <w:name w:val="ds-markdown-paragraph"/>
    <w:basedOn w:val="1"/>
    <w:qFormat/>
    <w:uiPriority w:val="0"/>
    <w:pPr>
      <w:widowControl/>
      <w:spacing w:before="100" w:beforeAutospacing="1" w:after="100" w:afterAutospacing="1"/>
      <w:jc w:val="left"/>
    </w:pPr>
    <w:rPr>
      <w:rFonts w:ascii="宋体" w:hAnsi="宋体" w:eastAsia="宋体" w:cs="宋体"/>
      <w:kern w:val="0"/>
      <w:sz w:val="24"/>
    </w:rPr>
  </w:style>
  <w:style w:type="paragraph" w:styleId="17">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8"/>
    <customShpInfo spid="_x0000_s1029"/>
    <customShpInfo spid="_x0000_s1030"/>
    <customShpInfo spid="_x0000_s1031"/>
  </customShpExts>
</s:customData>
</file>

<file path=customXml/item2.xml><?xml version="1.0" encoding="utf-8"?>
<contractReview xmlns="http://schemas.wps.cn/vas-ai-hub/contract-review">
  <reviewItems>
    <reviewItem>
      <errorID>2a267590-6038-4d2f-a707-e954620598c1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4576A361</paraID>
      <start>20</start>
      <end>21</end>
      <status>modified</status>
      <modifiedWord>—</modifiedWord>
      <trackRevisions>false</trackRevisions>
    </reviewItem>
    <reviewItem>
      <errorID>3e62fc65-7f7b-465c-b352-61b593fd1791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25CDB52E</paraID>
      <start>139</start>
      <end>140</end>
      <status>modified</status>
      <modifiedWord>—</modifiedWord>
      <trackRevisions>false</trackRevisions>
    </reviewItem>
    <reviewItem>
      <errorID>c360f9ad-827c-4a33-bb09-8e0aad0a24d2</errorID>
      <errorWord>公路安全保护条例</errorWord>
      <group>L1_Knowledge</group>
      <groupName>知识性问题</groupName>
      <ability>L2_Knowledge</ability>
      <abilityName>其他知识</abilityName>
      <candidateList>
        <item>《公路安全保护条例》</item>
      </candidateList>
      <explain>完整法律法规名称需要加书名号，请注意检查。</explain>
      <paraID>2F12424E</paraID>
      <start>234</start>
      <end>242</end>
      <status>ignored</status>
      <modifiedWord/>
      <trackRevisions>false</trackRevisions>
    </reviewItem>
    <reviewItem>
      <errorID>0f09187d-46b1-4572-8e52-434b997689e7</errorID>
      <errorWord>超</errorWord>
      <group>L1_Word</group>
      <groupName>字词问题</groupName>
      <ability>L2_Typo</ability>
      <abilityName>字词错误</abilityName>
      <candidateList>
        <item>超过</item>
      </candidateList>
      <explain/>
      <paraID>27824468</paraID>
      <start>105</start>
      <end>106</end>
      <status>ignored</status>
      <modifiedWord/>
      <trackRevisions>false</trackRevisions>
    </reviewItem>
    <reviewItem>
      <errorID>4bfff2f0-0da3-4c5c-975f-0612182b26e2</errorID>
      <errorWord>超</errorWord>
      <group>L1_Word</group>
      <groupName>字词问题</groupName>
      <ability>L2_Typo</ability>
      <abilityName>字词错误</abilityName>
      <candidateList>
        <item>超过</item>
      </candidateList>
      <explain/>
      <paraID>427A4D6D</paraID>
      <start>62</start>
      <end>63</end>
      <status>ignored</status>
      <modifiedWord/>
      <trackRevisions>false</trackRevisions>
    </reviewItem>
    <reviewItem>
      <errorID>fafd7c0c-b7eb-44ea-b803-cf03e5b20e70</errorID>
      <errorWord>35%-60%</errorWord>
      <group>L1_Knowledge</group>
      <groupName>知识性问题</groupName>
      <ability>L2_Knowledge</ability>
      <abilityName>其他知识</abilityName>
      <candidateList>
        <item>35%—60%</item>
      </candidateList>
      <explain>1. “35%-60%”中的单位“%”仅出现在后一个数字上，容易引起歧义；根据《现代汉语标点符号数字用法规范手册》，数字表示范围两边需要使用统一的格式。2. 根据标点国标 4.13 中的规则，数字、时间或地域连接符应使用（视觉上更长的）“—”或“～”。</explain>
      <paraID>53411504</paraID>
      <start>108</start>
      <end>115</end>
      <status>ignored</status>
      <modifiedWord/>
      <trackRevisions>false</trackRevisions>
    </reviewItem>
    <reviewItem>
      <errorID>7df60ced-17f6-4151-b947-65791f2da300</errorID>
      <errorWord>35%-60%</errorWord>
      <group>L1_Knowledge</group>
      <groupName>知识性问题</groupName>
      <ability>L2_Knowledge</ability>
      <abilityName>其他知识</abilityName>
      <candidateList>
        <item>35%—60%</item>
      </candidateList>
      <explain>1. “35%-60%”中的单位“%”仅出现在后一个数字上，容易引起歧义；根据《现代汉语标点符号数字用法规范手册》，数字表示范围两边需要使用统一的格式。2. 根据标点国标 4.13 中的规则，数字、时间或地域连接符应使用（视觉上更长的）“—”或“～”。</explain>
      <paraID>53411504</paraID>
      <start>157</start>
      <end>164</end>
      <status>ignored</status>
      <modifiedWord/>
      <trackRevisions>false</trackRevisions>
    </reviewItem>
    <reviewItem>
      <errorID>fe2f711d-a176-460a-a69f-370bc7fef66a</errorID>
      <errorWord>超</errorWord>
      <group>L1_Word</group>
      <groupName>字词问题</groupName>
      <ability>L2_Typo</ability>
      <abilityName>字词错误</abilityName>
      <candidateList>
        <item>超过</item>
      </candidateList>
      <explain/>
      <paraID>53411504</paraID>
      <start>180</start>
      <end>181</end>
      <status>ignored</status>
      <modifiedWord/>
      <trackRevisions>false</trackRevisions>
    </reviewItem>
    <reviewItem>
      <errorID>6ee273b3-e265-48ec-a742-d3d44ff4f6bf</errorID>
      <errorWord>；</errorWord>
      <group>L1_Word</group>
      <groupName>字词问题</groupName>
      <ability>L2_Typo</ability>
      <abilityName>字词错误</abilityName>
      <candidateList>
        <item>；在</item>
      </candidateList>
      <explain/>
      <paraID>2BDD1554</paraID>
      <start>37</start>
      <end>38</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A0947EC-6AC8-474E-B55A-8D74E8EEE210}">
  <ds:schemaRefs/>
</ds:datastoreItem>
</file>

<file path=docProps/app.xml><?xml version="1.0" encoding="utf-8"?>
<Properties xmlns="http://schemas.openxmlformats.org/officeDocument/2006/extended-properties" xmlns:vt="http://schemas.openxmlformats.org/officeDocument/2006/docPropsVTypes">
  <Template>Normal.dotm</Template>
  <Company>县自然资源局</Company>
  <Pages>19</Pages>
  <Words>10761</Words>
  <Characters>11257</Characters>
  <Lines>82</Lines>
  <Paragraphs>23</Paragraphs>
  <TotalTime>257</TotalTime>
  <ScaleCrop>false</ScaleCrop>
  <LinksUpToDate>false</LinksUpToDate>
  <CharactersWithSpaces>11266</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2026-07-06T06:48:00Z</dcterms:created>
  <dc:creator>空明</dc:creator>
  <cp:lastModifiedBy>WPS_1718595813</cp:lastModifiedBy>
  <cp:lastPrinted>2026-07-13T07:43:00Z</cp:lastPrinted>
  <dcterms:modified xsi:type="dcterms:W3CDTF">2026-07-17T04:40:03Z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3ABEBC5492204D4EBA0E329EA6DBD101_13</vt:lpwstr>
  </property>
  <property fmtid="{D5CDD505-2E9C-101B-9397-08002B2CF9AE}" pid="4" name="KSOTemplateDocerSaveRecord">
    <vt:lpwstr>eyJoZGlkIjoiNzE4ODY5NzY1MzM2YjIxZDJlYzFiOWQ2MDJiODg3MTIiLCJ1c2VySWQiOiIxNjA4NDMxNDA5In0=</vt:lpwstr>
  </property>
</Properties>
</file>