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730F99">
      <w:pPr>
        <w:pStyle w:val="7"/>
        <w:widowControl/>
        <w:spacing w:before="156" w:beforeAutospacing="0" w:after="458" w:afterAutospacing="0" w:line="600" w:lineRule="exact"/>
        <w:jc w:val="center"/>
        <w:rPr>
          <w:rFonts w:ascii="仿宋_GB2312" w:hAnsi="仿宋_GB2312" w:eastAsia="仿宋_GB2312" w:cs="仿宋_GB2312"/>
          <w:b/>
          <w:bCs/>
          <w:color w:val="333333"/>
          <w:sz w:val="32"/>
          <w:szCs w:val="32"/>
          <w:shd w:val="clear" w:color="auto" w:fill="FFFFFF"/>
        </w:rPr>
      </w:pPr>
      <w:r>
        <w:rPr>
          <w:rFonts w:hint="eastAsia" w:ascii="方正小标宋简体" w:hAnsi="方正小标宋简体" w:eastAsia="方正小标宋简体" w:cs="方正小标宋简体"/>
          <w:b/>
          <w:bCs/>
          <w:color w:val="333333"/>
          <w:sz w:val="44"/>
          <w:szCs w:val="44"/>
          <w:shd w:val="clear" w:color="auto" w:fill="FFFFFF"/>
        </w:rPr>
        <w:t>《龙川县铁场镇国土空间总体规划（2021—2035年）》批后公告</w:t>
      </w:r>
    </w:p>
    <w:p w14:paraId="544AB589">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0"/>
        <w:jc w:val="both"/>
        <w:textAlignment w:val="auto"/>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根据《中共中央 国务院关于建立国土空间规划体系并监督实施的若干意见》（中发〔2019〕18 号）、《中共广东省委 广东省人民政府印发〈关于建立国土空间规划体系并监督实施的若干措施〉的通知》（粤发〔2021〕5号）等文件要求，我镇已编制完成《龙川县铁场镇国土空间总体规划（2021—2035年）》（以下简称《规划》），已经河源市人民政府批准实施，现将规划主要内容公开如下：</w:t>
      </w:r>
    </w:p>
    <w:p w14:paraId="0977672A">
      <w:pPr>
        <w:pStyle w:val="2"/>
        <w:keepLines w:val="0"/>
        <w:pageBreakBefore w:val="0"/>
        <w:widowControl/>
        <w:kinsoku/>
        <w:wordWrap/>
        <w:overflowPunct/>
        <w:topLinePunct w:val="0"/>
        <w:autoSpaceDE/>
        <w:autoSpaceDN/>
        <w:bidi w:val="0"/>
        <w:adjustRightInd/>
        <w:snapToGrid/>
        <w:spacing w:beforeAutospacing="0" w:afterAutospacing="0" w:line="590" w:lineRule="exact"/>
        <w:ind w:firstLine="643"/>
        <w:jc w:val="both"/>
        <w:textAlignment w:val="auto"/>
        <w:rPr>
          <w:rFonts w:hint="default" w:ascii="黑体" w:hAnsi="黑体" w:eastAsia="黑体" w:cs="黑体"/>
          <w:sz w:val="32"/>
          <w:szCs w:val="32"/>
        </w:rPr>
      </w:pPr>
      <w:r>
        <w:rPr>
          <w:rFonts w:ascii="黑体" w:hAnsi="黑体" w:eastAsia="黑体" w:cs="黑体"/>
          <w:color w:val="333333"/>
          <w:sz w:val="32"/>
          <w:szCs w:val="32"/>
          <w:shd w:val="clear" w:color="auto" w:fill="FFFFFF"/>
        </w:rPr>
        <w:t>一、规划范围与期限</w:t>
      </w:r>
    </w:p>
    <w:p w14:paraId="1188C67D">
      <w:pPr>
        <w:pStyle w:val="3"/>
        <w:keepLines w:val="0"/>
        <w:pageBreakBefore w:val="0"/>
        <w:widowControl/>
        <w:kinsoku/>
        <w:wordWrap/>
        <w:overflowPunct/>
        <w:topLinePunct w:val="0"/>
        <w:autoSpaceDE/>
        <w:autoSpaceDN/>
        <w:bidi w:val="0"/>
        <w:adjustRightInd/>
        <w:snapToGrid/>
        <w:spacing w:beforeAutospacing="0" w:afterAutospacing="0" w:line="590" w:lineRule="exact"/>
        <w:ind w:firstLine="643"/>
        <w:jc w:val="both"/>
        <w:textAlignment w:val="auto"/>
        <w:rPr>
          <w:rFonts w:hint="default"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1.规划范围</w:t>
      </w:r>
    </w:p>
    <w:p w14:paraId="5FD8B62B">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本规划国土空间范围包含镇域和镇区两个层次。镇域范围包括铁场镇行政辖区内全部国土空间，面积约195.44平方公里；镇区</w:t>
      </w:r>
      <w:r>
        <w:rPr>
          <w:rFonts w:ascii="Times New Roman" w:hAnsi="Times New Roman" w:eastAsia="仿宋_GB2312"/>
          <w:color w:val="333333"/>
          <w:sz w:val="32"/>
          <w:szCs w:val="32"/>
          <w:shd w:val="clear" w:color="auto" w:fill="FFFFFF"/>
        </w:rPr>
        <w:t>涉及</w:t>
      </w:r>
      <w:r>
        <w:rPr>
          <w:rFonts w:hint="eastAsia" w:ascii="Times New Roman" w:hAnsi="Times New Roman" w:eastAsia="仿宋_GB2312"/>
          <w:color w:val="333333"/>
          <w:sz w:val="32"/>
          <w:szCs w:val="32"/>
          <w:shd w:val="clear" w:color="auto" w:fill="FFFFFF"/>
        </w:rPr>
        <w:t>铁场</w:t>
      </w:r>
      <w:r>
        <w:rPr>
          <w:rFonts w:ascii="Times New Roman" w:hAnsi="Times New Roman" w:eastAsia="仿宋_GB2312"/>
          <w:color w:val="333333"/>
          <w:sz w:val="32"/>
          <w:szCs w:val="32"/>
          <w:shd w:val="clear" w:color="auto" w:fill="FFFFFF"/>
        </w:rPr>
        <w:t>村</w:t>
      </w:r>
      <w:r>
        <w:rPr>
          <w:rFonts w:hint="eastAsia" w:ascii="Times New Roman" w:hAnsi="Times New Roman" w:eastAsia="仿宋_GB2312"/>
          <w:color w:val="333333"/>
          <w:sz w:val="32"/>
          <w:szCs w:val="32"/>
          <w:shd w:val="clear" w:color="auto" w:fill="FFFFFF"/>
        </w:rPr>
        <w:t>1</w:t>
      </w:r>
      <w:r>
        <w:rPr>
          <w:rFonts w:ascii="Times New Roman" w:hAnsi="Times New Roman" w:eastAsia="仿宋_GB2312"/>
          <w:color w:val="333333"/>
          <w:sz w:val="32"/>
          <w:szCs w:val="32"/>
          <w:shd w:val="clear" w:color="auto" w:fill="FFFFFF"/>
        </w:rPr>
        <w:t>个行政村</w:t>
      </w:r>
      <w:r>
        <w:rPr>
          <w:rFonts w:hint="eastAsia" w:ascii="Times New Roman" w:hAnsi="Times New Roman" w:eastAsia="仿宋_GB2312"/>
          <w:color w:val="333333"/>
          <w:sz w:val="32"/>
          <w:szCs w:val="32"/>
          <w:shd w:val="clear" w:color="auto" w:fill="FFFFFF"/>
        </w:rPr>
        <w:t>，面积约0.24平方公里</w:t>
      </w:r>
      <w:r>
        <w:rPr>
          <w:rFonts w:hint="eastAsia" w:ascii="仿宋_GB2312" w:hAnsi="仿宋_GB2312" w:eastAsia="仿宋_GB2312" w:cs="仿宋_GB2312"/>
          <w:color w:val="333333"/>
          <w:sz w:val="32"/>
          <w:szCs w:val="32"/>
          <w:shd w:val="clear" w:color="auto" w:fill="FFFFFF"/>
        </w:rPr>
        <w:t>。</w:t>
      </w:r>
    </w:p>
    <w:p w14:paraId="1F49C370">
      <w:pPr>
        <w:pStyle w:val="3"/>
        <w:keepLines w:val="0"/>
        <w:pageBreakBefore w:val="0"/>
        <w:widowControl/>
        <w:kinsoku/>
        <w:wordWrap/>
        <w:overflowPunct/>
        <w:topLinePunct w:val="0"/>
        <w:autoSpaceDE/>
        <w:autoSpaceDN/>
        <w:bidi w:val="0"/>
        <w:adjustRightInd/>
        <w:snapToGrid/>
        <w:spacing w:beforeAutospacing="0" w:afterAutospacing="0" w:line="590" w:lineRule="exact"/>
        <w:ind w:firstLine="643"/>
        <w:jc w:val="both"/>
        <w:textAlignment w:val="auto"/>
        <w:rPr>
          <w:rFonts w:hint="default"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2.规划期限</w:t>
      </w:r>
    </w:p>
    <w:p w14:paraId="1D6C8715">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0"/>
        <w:jc w:val="both"/>
        <w:textAlignment w:val="auto"/>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本规划基期为2020年，期限为2021年至2035年，近期至2025年，远景展望至2050年。</w:t>
      </w:r>
    </w:p>
    <w:p w14:paraId="49D9A8A7">
      <w:pPr>
        <w:pStyle w:val="2"/>
        <w:keepLines w:val="0"/>
        <w:pageBreakBefore w:val="0"/>
        <w:widowControl/>
        <w:kinsoku/>
        <w:wordWrap/>
        <w:overflowPunct/>
        <w:topLinePunct w:val="0"/>
        <w:autoSpaceDE/>
        <w:autoSpaceDN/>
        <w:bidi w:val="0"/>
        <w:adjustRightInd/>
        <w:snapToGrid/>
        <w:spacing w:beforeAutospacing="0" w:afterAutospacing="0" w:line="590" w:lineRule="exact"/>
        <w:ind w:firstLine="643"/>
        <w:jc w:val="both"/>
        <w:textAlignment w:val="auto"/>
        <w:rPr>
          <w:rFonts w:hint="default" w:ascii="黑体" w:hAnsi="黑体" w:eastAsia="黑体" w:cs="黑体"/>
          <w:color w:val="333333"/>
          <w:sz w:val="32"/>
          <w:szCs w:val="32"/>
          <w:shd w:val="clear" w:color="auto" w:fill="FFFFFF"/>
        </w:rPr>
      </w:pPr>
      <w:r>
        <w:rPr>
          <w:rFonts w:ascii="黑体" w:hAnsi="黑体" w:eastAsia="黑体" w:cs="黑体"/>
          <w:color w:val="333333"/>
          <w:sz w:val="32"/>
          <w:szCs w:val="32"/>
          <w:shd w:val="clear" w:color="auto" w:fill="FFFFFF"/>
        </w:rPr>
        <w:t>二、发展定位与目标</w:t>
      </w:r>
    </w:p>
    <w:p w14:paraId="3B63CE6B">
      <w:pPr>
        <w:pStyle w:val="3"/>
        <w:keepLines w:val="0"/>
        <w:pageBreakBefore w:val="0"/>
        <w:widowControl/>
        <w:kinsoku/>
        <w:wordWrap/>
        <w:overflowPunct/>
        <w:topLinePunct w:val="0"/>
        <w:autoSpaceDE/>
        <w:autoSpaceDN/>
        <w:bidi w:val="0"/>
        <w:adjustRightInd/>
        <w:snapToGrid/>
        <w:spacing w:beforeAutospacing="0" w:afterAutospacing="0" w:line="590" w:lineRule="exact"/>
        <w:ind w:firstLine="643"/>
        <w:jc w:val="both"/>
        <w:textAlignment w:val="auto"/>
        <w:rPr>
          <w:rFonts w:hint="default"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1.发展定位</w:t>
      </w:r>
    </w:p>
    <w:p w14:paraId="06FA9FCD">
      <w:pPr>
        <w:pStyle w:val="13"/>
        <w:keepLines w:val="0"/>
        <w:pageBreakBefore w:val="0"/>
        <w:kinsoku/>
        <w:wordWrap/>
        <w:overflowPunct/>
        <w:topLinePunct w:val="0"/>
        <w:autoSpaceDE/>
        <w:autoSpaceDN/>
        <w:bidi w:val="0"/>
        <w:adjustRightInd/>
        <w:snapToGrid/>
        <w:spacing w:beforeAutospacing="0" w:afterAutospacing="0" w:line="590" w:lineRule="exact"/>
        <w:textAlignment w:val="auto"/>
        <w:rPr>
          <w:color w:val="333333"/>
          <w:sz w:val="32"/>
          <w:szCs w:val="32"/>
          <w:shd w:val="clear" w:color="auto" w:fill="FFFFFF"/>
        </w:rPr>
      </w:pPr>
      <w:r>
        <w:rPr>
          <w:color w:val="auto"/>
        </w:rPr>
        <w:t>县域中东部门户镇</w:t>
      </w:r>
      <w:r>
        <w:rPr>
          <w:rFonts w:hint="eastAsia"/>
          <w:color w:val="auto"/>
        </w:rPr>
        <w:t>、</w:t>
      </w:r>
      <w:r>
        <w:rPr>
          <w:color w:val="auto"/>
        </w:rPr>
        <w:t>特色农业种养强镇、</w:t>
      </w:r>
      <w:r>
        <w:rPr>
          <w:rFonts w:hint="eastAsia" w:cs="Times New Roman"/>
          <w:color w:val="auto"/>
        </w:rPr>
        <w:t>农文旅融合</w:t>
      </w:r>
      <w:r>
        <w:rPr>
          <w:rFonts w:cs="Times New Roman"/>
          <w:color w:val="auto"/>
        </w:rPr>
        <w:t>发展的</w:t>
      </w:r>
      <w:r>
        <w:rPr>
          <w:rFonts w:hint="eastAsia" w:cs="Times New Roman"/>
          <w:color w:val="auto"/>
        </w:rPr>
        <w:t>生态</w:t>
      </w:r>
      <w:r>
        <w:rPr>
          <w:rFonts w:cs="Times New Roman"/>
          <w:color w:val="auto"/>
        </w:rPr>
        <w:t>宜居</w:t>
      </w:r>
      <w:r>
        <w:rPr>
          <w:rFonts w:hint="eastAsia" w:cs="Times New Roman"/>
          <w:color w:val="auto"/>
        </w:rPr>
        <w:t>城镇</w:t>
      </w:r>
      <w:r>
        <w:rPr>
          <w:rFonts w:cs="Times New Roman"/>
          <w:color w:val="auto"/>
        </w:rPr>
        <w:t>。</w:t>
      </w:r>
      <w:r>
        <w:rPr>
          <w:color w:val="auto"/>
        </w:rPr>
        <w:t>以商贸、农产品生产加工、循环经济、生态旅游、红色旅游等产业为主导，公共服务设施齐全、生态山水宜居宜业的城乡统筹生态城镇</w:t>
      </w:r>
      <w:r>
        <w:rPr>
          <w:rFonts w:hint="eastAsia"/>
          <w:color w:val="333333"/>
          <w:sz w:val="32"/>
          <w:szCs w:val="32"/>
          <w:shd w:val="clear" w:color="auto" w:fill="FFFFFF"/>
        </w:rPr>
        <w:t>。</w:t>
      </w:r>
    </w:p>
    <w:p w14:paraId="238C7857">
      <w:pPr>
        <w:pStyle w:val="3"/>
        <w:keepLines w:val="0"/>
        <w:pageBreakBefore w:val="0"/>
        <w:widowControl/>
        <w:kinsoku/>
        <w:wordWrap/>
        <w:overflowPunct/>
        <w:topLinePunct w:val="0"/>
        <w:autoSpaceDE/>
        <w:autoSpaceDN/>
        <w:bidi w:val="0"/>
        <w:adjustRightInd/>
        <w:snapToGrid/>
        <w:spacing w:beforeAutospacing="0" w:afterAutospacing="0" w:line="590" w:lineRule="exact"/>
        <w:ind w:firstLine="643"/>
        <w:jc w:val="both"/>
        <w:textAlignment w:val="auto"/>
        <w:rPr>
          <w:rFonts w:hint="default"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2.国土空间开发保护目标</w:t>
      </w:r>
    </w:p>
    <w:p w14:paraId="363C5E68">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全面落实上位规划要求，严守空间底线，强化产业支撑，夯实民生基础，彰显地域特色，建成高质量发展、高品质生活的现代化幸福城镇。</w:t>
      </w:r>
    </w:p>
    <w:p w14:paraId="668F093D">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严格落实上位规划下达的规划约束性指标，按照耕地和永久基本农田、生态保护红线、城镇开发边界的优先序统筹落实三条控制线，确保三条控制线不交叉不重叠不冲突。至2035年，铁场镇耕地保护目标不低于27.09平方公里（4.06万亩）；永久基本农田保护面积不低于26.05平方公里（3.91万亩）；生态保护红线面积不低于6.09平方公里（0.91万亩）；城镇开发边界面积不高于0.38平方公里（0.06万亩）。</w:t>
      </w:r>
    </w:p>
    <w:p w14:paraId="36E49029">
      <w:pPr>
        <w:pStyle w:val="2"/>
        <w:keepLines w:val="0"/>
        <w:pageBreakBefore w:val="0"/>
        <w:widowControl/>
        <w:kinsoku/>
        <w:wordWrap/>
        <w:overflowPunct/>
        <w:topLinePunct w:val="0"/>
        <w:autoSpaceDE/>
        <w:autoSpaceDN/>
        <w:bidi w:val="0"/>
        <w:adjustRightInd/>
        <w:snapToGrid/>
        <w:spacing w:beforeAutospacing="0" w:afterAutospacing="0" w:line="590" w:lineRule="exact"/>
        <w:ind w:firstLine="643"/>
        <w:jc w:val="both"/>
        <w:textAlignment w:val="auto"/>
        <w:rPr>
          <w:rFonts w:hint="default" w:ascii="黑体" w:hAnsi="黑体" w:eastAsia="黑体" w:cs="黑体"/>
          <w:color w:val="333333"/>
          <w:sz w:val="32"/>
          <w:szCs w:val="32"/>
          <w:shd w:val="clear" w:color="auto" w:fill="FFFFFF"/>
        </w:rPr>
      </w:pPr>
      <w:r>
        <w:rPr>
          <w:rFonts w:ascii="黑体" w:hAnsi="黑体" w:eastAsia="黑体" w:cs="黑体"/>
          <w:color w:val="333333"/>
          <w:sz w:val="32"/>
          <w:szCs w:val="32"/>
          <w:shd w:val="clear" w:color="auto" w:fill="FFFFFF"/>
        </w:rPr>
        <w:t>三、国土空间总体格局</w:t>
      </w:r>
    </w:p>
    <w:p w14:paraId="1748C980">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落实区域和县级空间战略，立足自然地理格局、资源禀赋和城镇化发展阶段特征，构建“一心、两轴、两带、四组团”的国土空间开发保护总体格局。</w:t>
      </w:r>
    </w:p>
    <w:p w14:paraId="48D69227">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“一心”以镇区为核心形成综合服务中心，辐射集聚铁场村、铁东村及周边各村，强化中心带动作用。</w:t>
      </w:r>
    </w:p>
    <w:p w14:paraId="4D51DD6A">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“两轴”沿国道G238的南北向综合发展主轴；沿县道的东西向综合发展次轴。</w:t>
      </w:r>
    </w:p>
    <w:p w14:paraId="0D8CD524">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“两带”沿铁场河、桥头水打造滨水生态景观带。</w:t>
      </w:r>
    </w:p>
    <w:p w14:paraId="72107960">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“四组团”指以镇区服务功能为主的城镇综合服务组团；以谷前村等为主的特色农业种植组团；以石坑村等为主的特色农庄产业组团；以霍山旅游风景区、桥头村等为主的生态旅游观光组团。</w:t>
      </w:r>
    </w:p>
    <w:p w14:paraId="4A4A3AFC">
      <w:pPr>
        <w:pStyle w:val="2"/>
        <w:keepLines w:val="0"/>
        <w:pageBreakBefore w:val="0"/>
        <w:widowControl/>
        <w:kinsoku/>
        <w:wordWrap/>
        <w:overflowPunct/>
        <w:topLinePunct w:val="0"/>
        <w:autoSpaceDE/>
        <w:autoSpaceDN/>
        <w:bidi w:val="0"/>
        <w:adjustRightInd/>
        <w:snapToGrid/>
        <w:spacing w:beforeAutospacing="0" w:afterAutospacing="0" w:line="590" w:lineRule="exact"/>
        <w:ind w:firstLine="643"/>
        <w:jc w:val="both"/>
        <w:textAlignment w:val="auto"/>
        <w:rPr>
          <w:rFonts w:hint="default" w:ascii="黑体" w:hAnsi="黑体" w:eastAsia="黑体" w:cs="黑体"/>
          <w:color w:val="333333"/>
          <w:sz w:val="32"/>
          <w:szCs w:val="32"/>
          <w:shd w:val="clear" w:color="auto" w:fill="FFFFFF"/>
        </w:rPr>
      </w:pPr>
      <w:r>
        <w:rPr>
          <w:rFonts w:ascii="黑体" w:hAnsi="黑体" w:eastAsia="黑体" w:cs="黑体"/>
          <w:color w:val="333333"/>
          <w:sz w:val="32"/>
          <w:szCs w:val="32"/>
          <w:shd w:val="clear" w:color="auto" w:fill="FFFFFF"/>
        </w:rPr>
        <w:t>四、城乡统筹发展与基础设施支撑体系</w:t>
      </w:r>
    </w:p>
    <w:p w14:paraId="1CA5676F">
      <w:pPr>
        <w:pStyle w:val="3"/>
        <w:keepLines w:val="0"/>
        <w:pageBreakBefore w:val="0"/>
        <w:widowControl/>
        <w:kinsoku/>
        <w:wordWrap/>
        <w:overflowPunct/>
        <w:topLinePunct w:val="0"/>
        <w:autoSpaceDE/>
        <w:autoSpaceDN/>
        <w:bidi w:val="0"/>
        <w:adjustRightInd/>
        <w:snapToGrid/>
        <w:spacing w:beforeAutospacing="0" w:afterAutospacing="0" w:line="590" w:lineRule="exact"/>
        <w:ind w:firstLine="643"/>
        <w:jc w:val="both"/>
        <w:textAlignment w:val="auto"/>
        <w:rPr>
          <w:rFonts w:hint="default"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1.镇村体系规划</w:t>
      </w:r>
    </w:p>
    <w:p w14:paraId="1F5EC735">
      <w:pPr>
        <w:keepLines w:val="0"/>
        <w:pageBreakBefore w:val="0"/>
        <w:kinsoku/>
        <w:wordWrap/>
        <w:overflowPunct/>
        <w:topLinePunct w:val="0"/>
        <w:autoSpaceDE/>
        <w:autoSpaceDN/>
        <w:bidi w:val="0"/>
        <w:adjustRightInd/>
        <w:snapToGrid/>
        <w:spacing w:beforeAutospacing="0" w:afterAutospacing="0" w:line="590" w:lineRule="exact"/>
        <w:ind w:firstLine="600" w:firstLineChars="200"/>
        <w:textAlignment w:val="auto"/>
        <w:rPr>
          <w:rFonts w:ascii="Times New Roman" w:hAnsi="Times New Roman" w:eastAsia="仿宋_GB2312"/>
          <w:sz w:val="30"/>
          <w:szCs w:val="30"/>
        </w:rPr>
      </w:pPr>
      <w:r>
        <w:rPr>
          <w:rFonts w:ascii="Times New Roman" w:hAnsi="Times New Roman" w:eastAsia="仿宋_GB2312"/>
          <w:sz w:val="30"/>
          <w:szCs w:val="30"/>
        </w:rPr>
        <w:t>镇区：包含铁场居委、铁场村。</w:t>
      </w:r>
    </w:p>
    <w:p w14:paraId="6AE75EF6">
      <w:pPr>
        <w:keepLines w:val="0"/>
        <w:pageBreakBefore w:val="0"/>
        <w:kinsoku/>
        <w:wordWrap/>
        <w:overflowPunct/>
        <w:topLinePunct w:val="0"/>
        <w:autoSpaceDE/>
        <w:autoSpaceDN/>
        <w:bidi w:val="0"/>
        <w:adjustRightInd/>
        <w:snapToGrid/>
        <w:spacing w:beforeAutospacing="0" w:afterAutospacing="0" w:line="590" w:lineRule="exact"/>
        <w:ind w:firstLine="600" w:firstLineChars="200"/>
        <w:textAlignment w:val="auto"/>
        <w:rPr>
          <w:rFonts w:ascii="Times New Roman" w:hAnsi="Times New Roman" w:eastAsia="仿宋_GB2312"/>
          <w:sz w:val="30"/>
          <w:szCs w:val="30"/>
        </w:rPr>
      </w:pPr>
      <w:r>
        <w:rPr>
          <w:rFonts w:ascii="Times New Roman" w:hAnsi="Times New Roman" w:eastAsia="仿宋_GB2312"/>
          <w:sz w:val="30"/>
          <w:szCs w:val="30"/>
        </w:rPr>
        <w:t>中心村：包含谷前村、桥头村、石坑村。</w:t>
      </w:r>
    </w:p>
    <w:p w14:paraId="62E7F330">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sz w:val="30"/>
          <w:szCs w:val="30"/>
        </w:rPr>
        <w:t>一般村：包含双丰村、梓江村、东湖村、凭畲村、黄田村、罗坳村、均厚村、中径村、秀中村、</w:t>
      </w:r>
      <w:r>
        <w:rPr>
          <w:rFonts w:hint="eastAsia" w:ascii="Times New Roman" w:hAnsi="Times New Roman" w:eastAsia="仿宋_GB2312"/>
          <w:sz w:val="30"/>
          <w:szCs w:val="30"/>
        </w:rPr>
        <w:t>茅輋</w:t>
      </w:r>
      <w:r>
        <w:rPr>
          <w:rFonts w:ascii="Times New Roman" w:hAnsi="Times New Roman" w:eastAsia="仿宋_GB2312"/>
          <w:sz w:val="30"/>
          <w:szCs w:val="30"/>
        </w:rPr>
        <w:t>村、秀联村、讴田村、社贝村、和田村、丰光村、龙湖村、珊田村、周塘村、江头村、黄花村、葛州村、新和村、铁东村、瑞厚村、塘江村、通亨村。</w:t>
      </w:r>
    </w:p>
    <w:p w14:paraId="4D637BFB">
      <w:pPr>
        <w:pStyle w:val="3"/>
        <w:keepLines w:val="0"/>
        <w:pageBreakBefore w:val="0"/>
        <w:widowControl/>
        <w:kinsoku/>
        <w:wordWrap/>
        <w:overflowPunct/>
        <w:topLinePunct w:val="0"/>
        <w:autoSpaceDE/>
        <w:autoSpaceDN/>
        <w:bidi w:val="0"/>
        <w:adjustRightInd/>
        <w:snapToGrid/>
        <w:spacing w:beforeAutospacing="0" w:afterAutospacing="0" w:line="590" w:lineRule="exact"/>
        <w:ind w:firstLine="643"/>
        <w:jc w:val="both"/>
        <w:textAlignment w:val="auto"/>
        <w:rPr>
          <w:rFonts w:hint="default"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2.产业发展</w:t>
      </w:r>
    </w:p>
    <w:p w14:paraId="736F9D0E">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贯彻落实乡村振兴战略要求，结合自身发展实际，以生态文明为统领，将一产种植养殖、二产加工流通、三产服务旅游的各产业环节串联起来，实现一二三产业融合发展。通过梳理产业发展现状、产业发展优势，同时落实铁场镇在河源市、龙川县规划中的产业相关战略定位，承接龙川县相关产业功能，按照三产融合发展途径优化镇域产业体系，《规划》明确铁场镇产业发展方向为：构建三产融合的现代农业产业体系，实现农业一产绿色高效化、二产精细品牌化、三产特色体验化，推动形成特色优势明显的全链条、高质量、高效益的现代农业产业集群。</w:t>
      </w:r>
    </w:p>
    <w:p w14:paraId="2F95A596">
      <w:pPr>
        <w:pStyle w:val="3"/>
        <w:keepLines w:val="0"/>
        <w:pageBreakBefore w:val="0"/>
        <w:widowControl/>
        <w:kinsoku/>
        <w:wordWrap/>
        <w:overflowPunct/>
        <w:topLinePunct w:val="0"/>
        <w:autoSpaceDE/>
        <w:autoSpaceDN/>
        <w:bidi w:val="0"/>
        <w:adjustRightInd/>
        <w:snapToGrid/>
        <w:spacing w:beforeAutospacing="0" w:afterAutospacing="0" w:line="590" w:lineRule="exact"/>
        <w:ind w:firstLine="643"/>
        <w:jc w:val="both"/>
        <w:textAlignment w:val="auto"/>
        <w:rPr>
          <w:rFonts w:hint="default"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3.公共服务设施</w:t>
      </w:r>
    </w:p>
    <w:p w14:paraId="2F60762C">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规划构建“镇级—中心村级—一般村级”三级公共服务设施配置体系。</w:t>
      </w:r>
    </w:p>
    <w:p w14:paraId="2277F92A">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镇级公共服务设施。主要依托镇驻地，统筹布局满足乡村居民日常生活、生产需求的各类服务要素，形成高级生活圈的服务核心。</w:t>
      </w:r>
    </w:p>
    <w:p w14:paraId="131173D5">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中心村级公共服务设施。主要依托各个中心村，统筹布局级别较高的服务设施，按照10分钟电动车可达的空间尺度，其服务载体包括了综合重点村和乡村建设区。</w:t>
      </w:r>
    </w:p>
    <w:p w14:paraId="46C8E884">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一般村级公共服务设施。依托行政村集中居民点或自然村组，综合考虑乡村居民常用交通方式，按照5分钟电动车可达的空间尺度，配置满足就近日常使用需求的服务要素，并注重相邻村庄之间服务要素的错位配置和共享使用。</w:t>
      </w:r>
    </w:p>
    <w:p w14:paraId="39481AD4">
      <w:pPr>
        <w:pStyle w:val="3"/>
        <w:keepNext/>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hint="default"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4.综合交通</w:t>
      </w:r>
    </w:p>
    <w:p w14:paraId="6F589BC7">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以构建便捷高效的绿色交通系统为目标，衔接上位规划，从区域连通、内部优化、农村道路设施完善等方面，构建铁场镇外联内畅的综合交通体系。</w:t>
      </w:r>
    </w:p>
    <w:p w14:paraId="77DE5B92">
      <w:pPr>
        <w:pStyle w:val="3"/>
        <w:keepLines w:val="0"/>
        <w:pageBreakBefore w:val="0"/>
        <w:widowControl/>
        <w:kinsoku/>
        <w:wordWrap/>
        <w:overflowPunct/>
        <w:topLinePunct w:val="0"/>
        <w:autoSpaceDE/>
        <w:autoSpaceDN/>
        <w:bidi w:val="0"/>
        <w:adjustRightInd/>
        <w:snapToGrid/>
        <w:spacing w:beforeAutospacing="0" w:afterAutospacing="0" w:line="590" w:lineRule="exact"/>
        <w:ind w:firstLine="643"/>
        <w:jc w:val="both"/>
        <w:textAlignment w:val="auto"/>
        <w:rPr>
          <w:rFonts w:hint="default"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5.</w:t>
      </w:r>
      <w:r>
        <w:rPr>
          <w:rFonts w:hint="default" w:ascii="仿宋_GB2312" w:hAnsi="仿宋_GB2312" w:eastAsia="仿宋_GB2312" w:cs="仿宋_GB2312"/>
          <w:color w:val="333333"/>
          <w:sz w:val="32"/>
          <w:szCs w:val="32"/>
          <w:shd w:val="clear" w:color="auto" w:fill="FFFFFF"/>
        </w:rPr>
        <w:t>市政基础</w:t>
      </w:r>
      <w:r>
        <w:rPr>
          <w:rFonts w:ascii="仿宋_GB2312" w:hAnsi="仿宋_GB2312" w:eastAsia="仿宋_GB2312" w:cs="仿宋_GB2312"/>
          <w:color w:val="333333"/>
          <w:sz w:val="32"/>
          <w:szCs w:val="32"/>
          <w:shd w:val="clear" w:color="auto" w:fill="FFFFFF"/>
        </w:rPr>
        <w:t>设施</w:t>
      </w:r>
    </w:p>
    <w:p w14:paraId="7B1583CC">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0"/>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（1）给水设施规划</w:t>
      </w:r>
    </w:p>
    <w:p w14:paraId="513AD941">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提高水资源利用率，保护水资源。规划至2035年，以铁场河为供水水源，加固现状水库。加强对铁场河等饮用水源保护区的保护措施。规划至2035年，全镇用水量规模为0.64万吨/日，镇域共建1座给水厂，总设计规模为0.8万吨/日。加强全镇给水管网建设，枝状管网成环改造，更新陈旧设施，提高管网供水能力，增强供水安全性和可靠性。</w:t>
      </w:r>
    </w:p>
    <w:p w14:paraId="2B0691A8">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（2）污水设施规划</w:t>
      </w:r>
    </w:p>
    <w:p w14:paraId="0376EBD8">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优化污水设施布局，满足全域污水处理需求。规划至2035年，全镇污水量规模为0.54万吨/日，加快镇街污水处理设施建设，共建1座污水处理厂，污水处理能力达到0.7万吨／日，城镇污水处理厂出水水质不低于《城镇污水处理厂污染物排放标准》一级A出水水质标准。</w:t>
      </w:r>
    </w:p>
    <w:p w14:paraId="3D81E007">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（3）雨水设施规划</w:t>
      </w:r>
    </w:p>
    <w:p w14:paraId="7603CD91">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强化山水林田湖草等生态本底保护，将海绵城市建设理念贯穿城市发展建设全过程，系统推进全域海绵城市建设。充分发挥自然蓄水排水能力，利用水系两侧蓝绿空间和低洼地区，留足生态滞蓄空间，提高城镇雨水消纳能力，减少雨水外排量。采用渗、滞、蓄、净、用、排等技术，提高雨水的渗透、调蓄、净化、利用能力。充分利用现状管道，完善城镇低标准排水系统改造，强化雨水管网维护管理。</w:t>
      </w:r>
    </w:p>
    <w:p w14:paraId="1E83F478">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（4）环卫设施规划</w:t>
      </w:r>
    </w:p>
    <w:p w14:paraId="722DB6F5">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规划至2035年，铁场镇生活垃圾无害化处理率达100%，逐步建立“分类投放、分类收集、分类运输、分类处理”的城乡生活垃圾分类收运处理体系。规划至2035年，铁场镇生活垃圾清运量为36.6吨/日，规划设置2座垃圾转运站，转运规模为40吨/日。生活垃圾经分类后集中运往龙川县生活垃圾焚烧发电厂进行无害化处理。</w:t>
      </w:r>
    </w:p>
    <w:p w14:paraId="5ECA4C70">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（5）供电设施规划</w:t>
      </w:r>
    </w:p>
    <w:p w14:paraId="0D7ADDB0">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统筹变电场站布局，推进区域重大输配电工程建设，优化主网网架结构，提高电网供电可靠性与灵活性。规划远期建成110kV铁场变电站1座，总主变容量为3×40MVA，保留现状35kV变电站1座，新建110kV铁场变电站与现状35kV变电站合建。加快电力基础设施建设，保留现状35千伏以上高压架空线路，规划新增110kV霍山站至铁场站单回送电线路、110千伏霍通线解口入铁场双回线路两条高压配电线路，强化区域电网联络。严格控制各等级电力廊道宽度，规划110kV高压线路走廊控制宽度为25米；规划35kV高压线路走廊控制宽度为20米。</w:t>
      </w:r>
    </w:p>
    <w:p w14:paraId="26549D56">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（6）通信设施规划</w:t>
      </w:r>
    </w:p>
    <w:p w14:paraId="011176C1">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0"/>
        <w:textAlignment w:val="auto"/>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规划至2035年，镇域电信网全面实现数字化。建立集语音、数据、有线电视和图像于一体的宽带综合业务数字网，逐步实现光纤化。规划保留邮政支局1座，合理设置邮政代办网点，强化区域邮政服务能力，推动邮政物流进一步发展。</w:t>
      </w:r>
    </w:p>
    <w:p w14:paraId="3C85105F">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（7）燃气设施规划</w:t>
      </w:r>
    </w:p>
    <w:p w14:paraId="59211F98">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坚持“多源保障、因地制宜、合理利用”的方针，构建天然气与液化石油气共同供应的气源体系。利用龙川（宝安）产业转移园LNG气化站作为气源下载点，引入广东省天然气管网“县县通”工程龙川分输站—兴宁分输站管道天然气作为上游天然气气源，增强天然气保障能力。规划至2035年，镇域天然气用气量为58.2万立方米，液化石油气用气量为275吨；镇区燃气普及率达到90%以上，其中，天然气普及率达到70%以上；农村燃气普及率达到60%以上。</w:t>
      </w:r>
    </w:p>
    <w:p w14:paraId="3C691690">
      <w:pPr>
        <w:pStyle w:val="3"/>
        <w:keepLines w:val="0"/>
        <w:pageBreakBefore w:val="0"/>
        <w:widowControl/>
        <w:kinsoku/>
        <w:wordWrap/>
        <w:overflowPunct/>
        <w:topLinePunct w:val="0"/>
        <w:autoSpaceDE/>
        <w:autoSpaceDN/>
        <w:bidi w:val="0"/>
        <w:adjustRightInd/>
        <w:snapToGrid/>
        <w:spacing w:beforeAutospacing="0" w:afterAutospacing="0" w:line="590" w:lineRule="exact"/>
        <w:ind w:firstLine="643"/>
        <w:jc w:val="both"/>
        <w:textAlignment w:val="auto"/>
        <w:rPr>
          <w:rFonts w:hint="default"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6.</w:t>
      </w:r>
      <w:r>
        <w:rPr>
          <w:rFonts w:hint="default" w:ascii="仿宋_GB2312" w:hAnsi="仿宋_GB2312" w:eastAsia="仿宋_GB2312" w:cs="仿宋_GB2312"/>
          <w:color w:val="333333"/>
          <w:sz w:val="32"/>
          <w:szCs w:val="32"/>
          <w:shd w:val="clear" w:color="auto" w:fill="FFFFFF"/>
        </w:rPr>
        <w:t>韧性安全与防灾减灾体系</w:t>
      </w:r>
    </w:p>
    <w:p w14:paraId="62944DBF">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（1）防洪排涝系统建设</w:t>
      </w:r>
    </w:p>
    <w:p w14:paraId="747D5A1A">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巩固完善“上蓄中防下泄”的防洪总体布局。防洪标准：五华河防洪标准按20年一遇设防，提高其防御能力。全镇防洪标准按近期10年一遇，远期20年一遇。排涝标准：全镇排涝标准按10年一遇24小时不成灾设防。加强河湖岸线水生态空间管控，保障涝水行泄通畅。</w:t>
      </w:r>
    </w:p>
    <w:p w14:paraId="49D44671">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（2）优化消防设施布局</w:t>
      </w:r>
    </w:p>
    <w:p w14:paraId="18E3D8FC">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优化消防安全布局，搭建“陆地、水上、空中”全方位消防救援体系；加快推进镇街消防站缺口的补足；加强高层建筑、交通场站、大型商业综合体的灭火和应急救援装备配备，提高消防保障力度。规划至2035年，全镇共设置1座二级消防站。</w:t>
      </w:r>
    </w:p>
    <w:p w14:paraId="39B6894F">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（3）地震灾害防御建设</w:t>
      </w:r>
    </w:p>
    <w:p w14:paraId="0954E8E1">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加强地震抗灾、人防工程等各类防灾设施建设，全面提高城镇的综合防灾能力，规划至2035年基本建成镇级综合防灾防御体系，保障全镇可持续发展。新建、扩建、改建的建设工程，应当达到抗震设防要求。一般建设工程抗震设防烈度为Ⅵ度；学校、医院等人员密集场所的建设工程按《中国地震动参数区划图》（GB18306-2015）确定的参数基础上提高一档进行抗震设计、建设（地震动峰值加速度提高至0.10g），或按重点设防类建设工程（抗震设防基本烈度提高至Ⅶ度）进行设计、建设，或双提高；特定区域（各类开发区、产业园区、新区及其他有条件区域等）应当在土地出让或划拨前，完成地震安全性评价，一般建设工程、学校医院建设工程可使用区域地震安全性评价结果进行抗震设计、建设；重大建设工程和可能发生严重次生灾害的建设工程应当进行地震安全性评价，并按照经审定的地震安全性评价报告所确定的抗震设防要求进行抗震设防。</w:t>
      </w:r>
    </w:p>
    <w:p w14:paraId="4296E170">
      <w:pPr>
        <w:pStyle w:val="7"/>
        <w:keepNext/>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w:t>
      </w:r>
      <w:r>
        <w:rPr>
          <w:rFonts w:hint="eastAsia" w:ascii="Times New Roman" w:hAnsi="Times New Roman" w:eastAsia="仿宋_GB2312"/>
          <w:color w:val="333333"/>
          <w:sz w:val="32"/>
          <w:szCs w:val="32"/>
          <w:shd w:val="clear" w:color="auto" w:fill="FFFFFF"/>
        </w:rPr>
        <w:t>4</w:t>
      </w:r>
      <w:r>
        <w:rPr>
          <w:rFonts w:ascii="Times New Roman" w:hAnsi="Times New Roman" w:eastAsia="仿宋_GB2312"/>
          <w:color w:val="333333"/>
          <w:sz w:val="32"/>
          <w:szCs w:val="32"/>
          <w:shd w:val="clear" w:color="auto" w:fill="FFFFFF"/>
        </w:rPr>
        <w:t>）</w:t>
      </w:r>
      <w:r>
        <w:rPr>
          <w:rFonts w:hint="eastAsia" w:ascii="Times New Roman" w:hAnsi="Times New Roman" w:eastAsia="仿宋_GB2312"/>
          <w:color w:val="333333"/>
          <w:sz w:val="32"/>
          <w:szCs w:val="32"/>
          <w:shd w:val="clear" w:color="auto" w:fill="FFFFFF"/>
        </w:rPr>
        <w:t>加强地质灾害防治</w:t>
      </w:r>
    </w:p>
    <w:p w14:paraId="6D47E0BF">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强化地质灾害综合治理，结合乡村建设、城市更新、危旧房改造工作，推进地质灾害隐患点搬迁治理。全镇着力加强地质灾害防治，充分依托信息化和自动化技术，形成地质灾害隐患点实时自动化监测预警网络。针对地质灾害易发的区域，采用监测预警、防治应急、搬迁治理的措施标准。加快推进地质灾害隐患点综合治理工程。规划至2035年，基本完成铁场镇全域范围内所有地质灾害隐患点治理，建成全镇高标准地质灾害防治体系。</w:t>
      </w:r>
    </w:p>
    <w:p w14:paraId="72F77603">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w:t>
      </w:r>
      <w:r>
        <w:rPr>
          <w:rFonts w:hint="eastAsia" w:ascii="Times New Roman" w:hAnsi="Times New Roman" w:eastAsia="仿宋_GB2312"/>
          <w:color w:val="333333"/>
          <w:sz w:val="32"/>
          <w:szCs w:val="32"/>
          <w:shd w:val="clear" w:color="auto" w:fill="FFFFFF"/>
        </w:rPr>
        <w:t>5</w:t>
      </w:r>
      <w:r>
        <w:rPr>
          <w:rFonts w:ascii="Times New Roman" w:hAnsi="Times New Roman" w:eastAsia="仿宋_GB2312"/>
          <w:color w:val="333333"/>
          <w:sz w:val="32"/>
          <w:szCs w:val="32"/>
          <w:shd w:val="clear" w:color="auto" w:fill="FFFFFF"/>
        </w:rPr>
        <w:t>）</w:t>
      </w:r>
      <w:r>
        <w:rPr>
          <w:rFonts w:hint="eastAsia" w:ascii="Times New Roman" w:hAnsi="Times New Roman" w:eastAsia="仿宋_GB2312"/>
          <w:color w:val="333333"/>
          <w:sz w:val="32"/>
          <w:szCs w:val="32"/>
          <w:shd w:val="clear" w:color="auto" w:fill="FFFFFF"/>
        </w:rPr>
        <w:t>提升突发公共卫生事件应对能力</w:t>
      </w:r>
    </w:p>
    <w:p w14:paraId="5EDBD471">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按“平战结合、医防融合、资源整合”原则，预留公共卫生医院、疾控中心、传染病防治楼等医疗卫生用地空间，为突发重大公共卫生事件提供医疗、应急物资等保障。</w:t>
      </w:r>
    </w:p>
    <w:p w14:paraId="337FA924">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w:t>
      </w:r>
      <w:r>
        <w:rPr>
          <w:rFonts w:hint="eastAsia" w:ascii="Times New Roman" w:hAnsi="Times New Roman" w:eastAsia="仿宋_GB2312"/>
          <w:color w:val="333333"/>
          <w:sz w:val="32"/>
          <w:szCs w:val="32"/>
          <w:shd w:val="clear" w:color="auto" w:fill="FFFFFF"/>
        </w:rPr>
        <w:t>6</w:t>
      </w:r>
      <w:r>
        <w:rPr>
          <w:rFonts w:ascii="Times New Roman" w:hAnsi="Times New Roman" w:eastAsia="仿宋_GB2312"/>
          <w:color w:val="333333"/>
          <w:sz w:val="32"/>
          <w:szCs w:val="32"/>
          <w:shd w:val="clear" w:color="auto" w:fill="FFFFFF"/>
        </w:rPr>
        <w:t>）</w:t>
      </w:r>
      <w:r>
        <w:rPr>
          <w:rFonts w:hint="eastAsia" w:ascii="Times New Roman" w:hAnsi="Times New Roman" w:eastAsia="仿宋_GB2312"/>
          <w:color w:val="333333"/>
          <w:sz w:val="32"/>
          <w:szCs w:val="32"/>
          <w:shd w:val="clear" w:color="auto" w:fill="FFFFFF"/>
        </w:rPr>
        <w:t>保障国防与应战储备空间</w:t>
      </w:r>
    </w:p>
    <w:p w14:paraId="7C7DEA0E">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刚性贯彻国防要求，坚持“军事优先、军为首要”的原则，优先保障国防军工等国家安全基础设施建设空间需求，在交通、能源、水利、电力等基础设施建设中做好军事功能预置，推进军民融合深度发展。加强军事设施及其用地保护，严格周边开发利用条件，确保各类经济建设活动不影响训练基地场地演训保障功能。统筹各类军事用地需求，加强军地规划的有机衔接、协调发展，并按程序征求有关军事机关的意见。</w:t>
      </w:r>
    </w:p>
    <w:p w14:paraId="442AF37C">
      <w:pPr>
        <w:pStyle w:val="3"/>
        <w:keepLines w:val="0"/>
        <w:pageBreakBefore w:val="0"/>
        <w:widowControl/>
        <w:kinsoku/>
        <w:wordWrap/>
        <w:overflowPunct/>
        <w:topLinePunct w:val="0"/>
        <w:autoSpaceDE/>
        <w:autoSpaceDN/>
        <w:bidi w:val="0"/>
        <w:adjustRightInd/>
        <w:snapToGrid/>
        <w:spacing w:beforeAutospacing="0" w:afterAutospacing="0" w:line="590" w:lineRule="exact"/>
        <w:ind w:firstLine="643"/>
        <w:jc w:val="both"/>
        <w:textAlignment w:val="auto"/>
        <w:rPr>
          <w:rFonts w:hint="default" w:ascii="仿宋_GB2312" w:hAnsi="仿宋_GB2312" w:eastAsia="仿宋_GB2312" w:cs="仿宋_GB2312"/>
          <w:color w:val="000000" w:themeColor="text1"/>
          <w:sz w:val="32"/>
          <w:szCs w:val="32"/>
          <w:shd w:val="clear" w:color="auto" w:fill="FFFFFF"/>
          <w14:textFill>
            <w14:solidFill>
              <w14:schemeClr w14:val="tx1"/>
            </w14:solidFill>
          </w14:textFill>
        </w:rPr>
      </w:pPr>
      <w:r>
        <w:rPr>
          <w:rFonts w:ascii="仿宋_GB2312" w:hAnsi="仿宋_GB2312" w:eastAsia="仿宋_GB2312" w:cs="仿宋_GB2312"/>
          <w:color w:val="333333"/>
          <w:sz w:val="32"/>
          <w:szCs w:val="32"/>
          <w:shd w:val="clear" w:color="auto" w:fill="FFFFFF"/>
        </w:rPr>
        <w:t>7.</w:t>
      </w:r>
      <w:r>
        <w:rPr>
          <w:rFonts w:hint="default" w:ascii="仿宋_GB2312" w:hAnsi="仿宋_GB2312" w:eastAsia="仿宋_GB2312" w:cs="仿宋_GB2312"/>
          <w:color w:val="333333"/>
          <w:sz w:val="32"/>
          <w:szCs w:val="32"/>
          <w:shd w:val="clear" w:color="auto" w:fill="FFFFFF"/>
        </w:rPr>
        <w:t>历</w:t>
      </w:r>
      <w:r>
        <w:rPr>
          <w:rFonts w:hint="default" w:ascii="仿宋_GB2312" w:hAnsi="仿宋_GB2312" w:eastAsia="仿宋_GB2312" w:cs="仿宋_GB2312"/>
          <w:color w:val="000000" w:themeColor="text1"/>
          <w:sz w:val="32"/>
          <w:szCs w:val="32"/>
          <w:shd w:val="clear" w:color="auto" w:fill="FFFFFF"/>
          <w14:textFill>
            <w14:solidFill>
              <w14:schemeClr w14:val="tx1"/>
            </w14:solidFill>
          </w14:textFill>
        </w:rPr>
        <w:t>史文化保护</w:t>
      </w:r>
    </w:p>
    <w:p w14:paraId="444A9689">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color w:val="000000" w:themeColor="text1"/>
          <w:sz w:val="32"/>
          <w:szCs w:val="32"/>
          <w:shd w:val="clear" w:color="auto" w:fill="FFFFFF"/>
          <w14:textFill>
            <w14:solidFill>
              <w14:schemeClr w14:val="tx1"/>
            </w14:solidFill>
          </w14:textFill>
        </w:rPr>
        <w:t>规划对各级各类文物保护单位建立保护单位名录，明确每个文物保护单位的名称、价值特征等，对各保护单位明确划定保护范围及建设控制地带范围，对重要保护单位划定环境协调区。</w:t>
      </w:r>
    </w:p>
    <w:p w14:paraId="56BDFEE6">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color w:val="000000" w:themeColor="text1"/>
          <w:sz w:val="32"/>
          <w:szCs w:val="32"/>
          <w:shd w:val="clear" w:color="auto" w:fill="FFFFFF"/>
          <w14:textFill>
            <w14:solidFill>
              <w14:schemeClr w14:val="tx1"/>
            </w14:solidFill>
          </w14:textFill>
        </w:rPr>
        <w:t>在保护范围和建设控制地带内不准进行与文物保护无关的建设工程，因特殊原因必须进行建设工程，必须要经过原公布单位的审核批准。文物保护的修缮应坚持“不改变文物现状，整旧如旧”的原则。文物保护方式是以点为主，点面结合，重点保护。</w:t>
      </w:r>
    </w:p>
    <w:p w14:paraId="6B637F82">
      <w:pPr>
        <w:pStyle w:val="2"/>
        <w:keepLines w:val="0"/>
        <w:pageBreakBefore w:val="0"/>
        <w:widowControl/>
        <w:kinsoku/>
        <w:wordWrap/>
        <w:overflowPunct/>
        <w:topLinePunct w:val="0"/>
        <w:autoSpaceDE/>
        <w:autoSpaceDN/>
        <w:bidi w:val="0"/>
        <w:adjustRightInd/>
        <w:snapToGrid/>
        <w:spacing w:beforeAutospacing="0" w:afterAutospacing="0" w:line="590" w:lineRule="exact"/>
        <w:ind w:firstLine="643"/>
        <w:jc w:val="both"/>
        <w:textAlignment w:val="auto"/>
        <w:rPr>
          <w:rFonts w:hint="default" w:ascii="黑体" w:hAnsi="黑体" w:eastAsia="黑体" w:cs="黑体"/>
          <w:color w:val="333333"/>
          <w:sz w:val="32"/>
          <w:szCs w:val="32"/>
          <w:shd w:val="clear" w:color="auto" w:fill="FFFFFF"/>
        </w:rPr>
      </w:pPr>
      <w:r>
        <w:rPr>
          <w:rFonts w:ascii="黑体" w:hAnsi="黑体" w:eastAsia="黑体" w:cs="黑体"/>
          <w:color w:val="333333"/>
          <w:sz w:val="32"/>
          <w:szCs w:val="32"/>
          <w:shd w:val="clear" w:color="auto" w:fill="FFFFFF"/>
        </w:rPr>
        <w:t>五</w:t>
      </w:r>
      <w:r>
        <w:rPr>
          <w:rFonts w:hint="default" w:ascii="黑体" w:hAnsi="黑体" w:eastAsia="黑体" w:cs="黑体"/>
          <w:color w:val="333333"/>
          <w:sz w:val="32"/>
          <w:szCs w:val="32"/>
          <w:shd w:val="clear" w:color="auto" w:fill="FFFFFF"/>
        </w:rPr>
        <w:t>、镇区空间规划</w:t>
      </w:r>
    </w:p>
    <w:p w14:paraId="35410CFC">
      <w:pPr>
        <w:pStyle w:val="3"/>
        <w:keepLines w:val="0"/>
        <w:pageBreakBefore w:val="0"/>
        <w:widowControl/>
        <w:kinsoku/>
        <w:wordWrap/>
        <w:overflowPunct/>
        <w:topLinePunct w:val="0"/>
        <w:autoSpaceDE/>
        <w:autoSpaceDN/>
        <w:bidi w:val="0"/>
        <w:adjustRightInd/>
        <w:snapToGrid/>
        <w:spacing w:beforeAutospacing="0" w:afterAutospacing="0" w:line="590" w:lineRule="exact"/>
        <w:ind w:firstLine="643"/>
        <w:jc w:val="both"/>
        <w:textAlignment w:val="auto"/>
        <w:rPr>
          <w:rFonts w:hint="default"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1.用地布局规划</w:t>
      </w:r>
    </w:p>
    <w:p w14:paraId="1CDA74C7">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规划镇区城镇建设用地面积为24.04公顷。包括居住用地、公共管理与公共服务用地、道路与交通设施用地、商业服务业用地、公用设施用地、绿地与开敞空间用地等。其中居住用地11.48公顷，占城镇建设用地的47.73%；公共管理与公共服务用地3.16公顷，占城镇建设用地的13.15%；道路与交通设施用地7.35公顷，占城镇建设用地的30.59%；商业服务业用地1.32公顷，占城镇建设用地的5.48%；公用设施用地0.03公顷，占城镇建设用地的0.14%；绿地与开敞空间用地0.7公顷，占城镇建设用地的2.91%。</w:t>
      </w:r>
    </w:p>
    <w:p w14:paraId="0637D528">
      <w:pPr>
        <w:pStyle w:val="3"/>
        <w:keepNext/>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hint="default"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2.道路交通规划</w:t>
      </w:r>
    </w:p>
    <w:p w14:paraId="7E602AF7">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镇驻地道路采用格网状道路布局。规划国道G238为镇区主要的交通干道，成为连接各功能区的交通纽带，承担镇区的主要交通量，道路红线宽度20-24米。规划次干路是与主干路衔接的集散道路，主要承担各功能分区内部的交通。规划道路红线宽度为8-12米。规划支路为主干路、干路以外的其它道路，作为引导性道路，可结合地块实际开发情况进行调整，规划支路道路红线宽度4-8米。</w:t>
      </w:r>
    </w:p>
    <w:p w14:paraId="701AB05E">
      <w:pPr>
        <w:pStyle w:val="3"/>
        <w:keepNext/>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hint="default"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3．</w:t>
      </w:r>
      <w:r>
        <w:rPr>
          <w:rFonts w:hint="default" w:ascii="仿宋_GB2312" w:hAnsi="仿宋_GB2312" w:eastAsia="仿宋_GB2312" w:cs="仿宋_GB2312"/>
          <w:color w:val="333333"/>
          <w:sz w:val="32"/>
          <w:szCs w:val="32"/>
          <w:shd w:val="clear" w:color="auto" w:fill="FFFFFF"/>
        </w:rPr>
        <w:t>市政基础</w:t>
      </w:r>
      <w:r>
        <w:rPr>
          <w:rFonts w:ascii="仿宋_GB2312" w:hAnsi="仿宋_GB2312" w:eastAsia="仿宋_GB2312" w:cs="仿宋_GB2312"/>
          <w:color w:val="333333"/>
          <w:sz w:val="32"/>
          <w:szCs w:val="32"/>
          <w:shd w:val="clear" w:color="auto" w:fill="FFFFFF"/>
        </w:rPr>
        <w:t>设施</w:t>
      </w:r>
    </w:p>
    <w:p w14:paraId="7A89EF04">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0"/>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（1）给水设施规划</w:t>
      </w:r>
    </w:p>
    <w:p w14:paraId="0FBBC253">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规划至2035年，镇区范围内自来水普及率达到100%，管网普及率达100％，常规水厂优质供水率达100％，管网水质综合合格率99%以上。预测镇区供水规模远期用水量为0.37万吨/日，规划扩建铁场镇水厂，远期水厂总规模0.8万吨/日。</w:t>
      </w:r>
    </w:p>
    <w:p w14:paraId="6591578D">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（2）污水设施规划</w:t>
      </w:r>
    </w:p>
    <w:p w14:paraId="648E2342">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推进污水全收集，全处理，推动污水再生利用。新建地区采用雨污分流制排水系统，已建合流制区域逐步进行分流改造。镇区远期污水量为0.25万吨/日，镇区共设置1座铁场污水处理厂，远期规模0.7万吨/日。城镇污水处理厂出水水质均不低于《城镇污水处理厂污染物排放标准》一级A出水水质标准。</w:t>
      </w:r>
    </w:p>
    <w:p w14:paraId="5618621A">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（3）雨水设施规划</w:t>
      </w:r>
    </w:p>
    <w:p w14:paraId="2F18BB88">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打造“蓝绿灰”融合的雨水排放系统。完善雨水管道建设，遵循高水高排、分散就近排放原则进行布局。雨水量按河源市暴雨强度公式计算。雨水管渠设计标准一般地区采用2年一遇，重点地区采用3-5年一遇，地下通道和下沉式广场采用20-30年一遇。</w:t>
      </w:r>
    </w:p>
    <w:p w14:paraId="275B20AB">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（4）环卫设施规划</w:t>
      </w:r>
    </w:p>
    <w:p w14:paraId="44C17327">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构建清洁高效的垃圾处理系统。规划至2035年，镇区生活垃圾产生量为14.6吨/日，城市生活垃圾无害化处理率达到100%。镇区内共设置1座生活垃圾转运站，转运规模为40吨/日。</w:t>
      </w:r>
    </w:p>
    <w:p w14:paraId="644A1EDF">
      <w:pPr>
        <w:pStyle w:val="7"/>
        <w:keepNext/>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（5）供电设施规划</w:t>
      </w:r>
    </w:p>
    <w:p w14:paraId="775D90DE">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全面构建安全可靠、绿色高效、技术先进的城镇电网体系。规划至2035年，预测镇区用电负荷为13.7兆瓦。镇区外北侧现状35kV铁场站和远期规划与其合建的110kV铁场站共同通过中压主干馈线为镇区供电。完善镇区中压配电网体系，线路网架应具备转供能力，形成环网或“多供一备”结构，优化提升配电网装备水平，推广自动化设备应用，实现电网运行可观可测可控，强化配电网调控能力。</w:t>
      </w:r>
    </w:p>
    <w:p w14:paraId="7038A185">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（6）通信设施规划</w:t>
      </w:r>
    </w:p>
    <w:p w14:paraId="367337DA">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建设安全稳定，高速高效，融合共享的通信基础设施体系。加快镇区主要道路通信管道建设，提升高速宽带接入能力。加快镇区5G移动网络建设，实现5G移动网络满足高速、优质、深度覆盖要求。保留镇区现状中国邮政铁场支局，占地面积约350平方米，强化镇区邮政物流服务能力。</w:t>
      </w:r>
    </w:p>
    <w:p w14:paraId="4ABA9CA8">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（7）燃气设施规划</w:t>
      </w:r>
    </w:p>
    <w:p w14:paraId="1A9B15C8">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构建多源互补的燃气输配体系。规划至2035年，镇区天然气年用气量为58.2万立方米，液化石油气年用气量275吨。自至现状龙川（宝安）产业转移园LNG气化站敷设中压燃气管道至镇区，沿镇区主要道路成环布局中压燃气管道，逐步构建镇区燃气管网全覆盖格局，保障供气安全。</w:t>
      </w:r>
    </w:p>
    <w:p w14:paraId="5E54BE9E">
      <w:pPr>
        <w:pStyle w:val="3"/>
        <w:keepNext/>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hint="default"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4．韧性安全与防灾减灾体系</w:t>
      </w:r>
    </w:p>
    <w:p w14:paraId="0901F2AF">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（1）防洪排涝系统建设</w:t>
      </w:r>
    </w:p>
    <w:p w14:paraId="6B788719">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构建安全可靠的防洪系统。加强防洪基础设施建设，提高城市防洪排涝标准，五华河不同河段采用不同防洪标准，镇区段规划防洪标准为20年一遇，并符合《防洪标准》（GB50201-2014）相关规定，对镇区未达到防洪标准的洪堤围进行整治加固。加强城市排涝体系建设，化解城市内涝风险。城市排涝标准采用20年一遇暴雨量24小时不成灾。保护镇区内现有河湖湿地等自然水面，至2035年规划水面不得低于现状水面面积。</w:t>
      </w:r>
    </w:p>
    <w:p w14:paraId="018B5B15">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（2）优化消防设施布局</w:t>
      </w:r>
    </w:p>
    <w:p w14:paraId="16DD9F32">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健全消防安全保障体系，优化消防站建设和布局。建立完善消防无线电监测报警系统，综合利用城市供水设施、城市自然和人工水体，作为应急消防水源。规划至2035年，在镇区外围北侧设置1座二级消防站；依托县区的防灾指挥中心，实行统一调度。加强对危化品存储的管理，明确周边区域的空间隔离。</w:t>
      </w:r>
    </w:p>
    <w:p w14:paraId="1085D51E">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（3）地震灾害防御建设</w:t>
      </w:r>
    </w:p>
    <w:p w14:paraId="5A666D05">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镇区主要公共服务设施及主要生命线工程设施可适当提高设防标准。结合公园、广场、运动场作为主要疏散场地，规划至2035年，设置应急疏散避难场所5处。合理组织疏散通道，使避震疏散场地服务半径小于500米，并保证每人1.5平方米的避震疏散用地。</w:t>
      </w:r>
    </w:p>
    <w:p w14:paraId="59BA8E57">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（4）完善人民防空防护体系</w:t>
      </w:r>
    </w:p>
    <w:p w14:paraId="3001D604">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结坚持军民融合、平战结合，加快构建人民防空体系，履行“战时防空、平时服务、应急支援”使命任务。统筹整合地上与地下空间，优化民防工程、人防警报、人防疏散基地等设施布局，与隧道、地面大中型服务场所等公共设施连片成网，提升人民防空建设水平和可持续发展能力。规划至2035年，镇区人均掩蔽面积为1平方米，战时疏散人口比例50%，人防掩蔽工程面积为0.61万平方米。</w:t>
      </w:r>
    </w:p>
    <w:p w14:paraId="36D08821">
      <w:pPr>
        <w:pStyle w:val="7"/>
        <w:keepNext/>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（5）加强气象灾害预警</w:t>
      </w:r>
    </w:p>
    <w:p w14:paraId="565783C8">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加强防汛抗旱、防洪、人工影响天气、防雷减灾、应急避险、通信保障和应急保障等工程性措施的建设，切实增强各部门防御气象灾害的能力。重视防灾减灾宣传教育，提高大众的防灾、避灾、躲灾意识，最大限度减轻气象灾害造成的经济损失和社会不利影响。</w:t>
      </w:r>
    </w:p>
    <w:p w14:paraId="2AF68AC2">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（6）完善防疫工程体系</w:t>
      </w:r>
    </w:p>
    <w:p w14:paraId="524AB7CB">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完善防疫网络体系，构建综合防疫体系。构建以县人民医院，县疾控中心为核心，镇医疗卫生机构为基础的网络化防疫体系，科学合理优化城市医疗卫生设施用地、医疗战略物资储备中心用地布局，确保医疗卫生、医疗战备物资用地的实施性。提升社区空间单元防疫能力，重视医疗设施周边公共空间，完善基层社区医疗设施的建设，强化社区基层公共服务设施配置和社区管理，提升社区自治的治理能力。</w:t>
      </w:r>
    </w:p>
    <w:p w14:paraId="7523F091">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（7）加强危险品仓储用地防护</w:t>
      </w:r>
    </w:p>
    <w:p w14:paraId="64270601">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危险品生产和仓储用地应设置在工业区内，远离居民生活区，与居民生活区保持一定防护距离，防护距离不低于国家标准及行业标准的规定，防护距离用地纳入危险品生产和仓储用地。镇区不布置危险品存储用地。</w:t>
      </w:r>
    </w:p>
    <w:p w14:paraId="5EB72EE4">
      <w:pPr>
        <w:pStyle w:val="2"/>
        <w:keepLines w:val="0"/>
        <w:pageBreakBefore w:val="0"/>
        <w:widowControl/>
        <w:kinsoku/>
        <w:wordWrap/>
        <w:overflowPunct/>
        <w:topLinePunct w:val="0"/>
        <w:autoSpaceDE/>
        <w:autoSpaceDN/>
        <w:bidi w:val="0"/>
        <w:adjustRightInd/>
        <w:snapToGrid/>
        <w:spacing w:beforeAutospacing="0" w:afterAutospacing="0" w:line="590" w:lineRule="exact"/>
        <w:ind w:firstLine="643"/>
        <w:jc w:val="both"/>
        <w:textAlignment w:val="auto"/>
        <w:rPr>
          <w:rFonts w:hint="default" w:ascii="黑体" w:hAnsi="黑体" w:eastAsia="黑体" w:cs="黑体"/>
          <w:color w:val="333333"/>
          <w:sz w:val="32"/>
          <w:szCs w:val="32"/>
          <w:shd w:val="clear" w:color="auto" w:fill="FFFFFF"/>
        </w:rPr>
      </w:pPr>
      <w:r>
        <w:rPr>
          <w:rFonts w:ascii="黑体" w:hAnsi="黑体" w:eastAsia="黑体" w:cs="黑体"/>
          <w:color w:val="333333"/>
          <w:sz w:val="32"/>
          <w:szCs w:val="32"/>
          <w:shd w:val="clear" w:color="auto" w:fill="FFFFFF"/>
        </w:rPr>
        <w:t>六、规划实施传导</w:t>
      </w:r>
    </w:p>
    <w:p w14:paraId="7BFBA254">
      <w:pPr>
        <w:pStyle w:val="3"/>
        <w:keepLines w:val="0"/>
        <w:pageBreakBefore w:val="0"/>
        <w:widowControl/>
        <w:kinsoku/>
        <w:wordWrap/>
        <w:overflowPunct/>
        <w:topLinePunct w:val="0"/>
        <w:autoSpaceDE/>
        <w:autoSpaceDN/>
        <w:bidi w:val="0"/>
        <w:adjustRightInd/>
        <w:snapToGrid/>
        <w:spacing w:beforeAutospacing="0" w:afterAutospacing="0" w:line="590" w:lineRule="exact"/>
        <w:ind w:firstLine="643"/>
        <w:jc w:val="both"/>
        <w:textAlignment w:val="auto"/>
        <w:rPr>
          <w:rFonts w:hint="default"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1.规划传导</w:t>
      </w:r>
    </w:p>
    <w:p w14:paraId="25993493">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（1）优化规划传导体系</w:t>
      </w:r>
    </w:p>
    <w:p w14:paraId="7F571FD6">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统筹协调空间布局、产业发展、用地规模的关系，形成统一衔接、功能互补、相互协调的空间规划体系。落实市县规划确定的职能定位、约束性指标、“三区三线”和重大基础设施、生态廊道等空间布局。划定详细规划与村庄规划管控单元，将国土空间规划发展指引、指标、边界、用途、名录等有效传导至城镇控制性详细规划单元和村庄管控单元。</w:t>
      </w:r>
    </w:p>
    <w:p w14:paraId="76E700B2">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（2）对市县规划的落实</w:t>
      </w:r>
    </w:p>
    <w:p w14:paraId="01DB185B">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落实市县规划确定的职能定位、生态保护红线面积、耕地保有量、永久基本农田保护面积、建设用地规模、城乡建设用地规模、新增生态修复面积等约束性指标，以及空间引导、底线约束和重大基础设施、生态廊道等空间布局。</w:t>
      </w:r>
    </w:p>
    <w:p w14:paraId="37E80E56">
      <w:pPr>
        <w:pStyle w:val="7"/>
        <w:keepNext/>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（3）对村庄规划的传导</w:t>
      </w:r>
    </w:p>
    <w:p w14:paraId="17AC903D">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结合乡村社区生活圈，划定乡村社区生活圈单元。将耕地保有量、永久基本农田面积、生态保护红线、城乡建设用地、村庄用地、乡村重点产业项目用地等传导至乡村社区生活圈单元。</w:t>
      </w:r>
    </w:p>
    <w:p w14:paraId="615690E8">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（4）对</w:t>
      </w:r>
      <w:r>
        <w:rPr>
          <w:rFonts w:hint="eastAsia" w:ascii="Times New Roman" w:hAnsi="Times New Roman" w:eastAsia="仿宋_GB2312"/>
          <w:color w:val="333333"/>
          <w:sz w:val="32"/>
          <w:szCs w:val="32"/>
          <w:shd w:val="clear" w:color="auto" w:fill="FFFFFF"/>
        </w:rPr>
        <w:t>镇区</w:t>
      </w:r>
      <w:r>
        <w:rPr>
          <w:rFonts w:ascii="Times New Roman" w:hAnsi="Times New Roman" w:eastAsia="仿宋_GB2312"/>
          <w:color w:val="333333"/>
          <w:sz w:val="32"/>
          <w:szCs w:val="32"/>
          <w:shd w:val="clear" w:color="auto" w:fill="FFFFFF"/>
        </w:rPr>
        <w:t>详细规划的传导</w:t>
      </w:r>
    </w:p>
    <w:p w14:paraId="6017AD05">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1"/>
        <w:jc w:val="both"/>
        <w:textAlignment w:val="auto"/>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规划将镇区划分为1个规划控制单元，如有调整以实际情况为准。功能定位为镇级公共服务中心、镇区商业中心，主要配置政务服务中心、综合体育场、中心卫生院、幼儿园等公共服务设施。</w:t>
      </w:r>
    </w:p>
    <w:p w14:paraId="199B69A2">
      <w:pPr>
        <w:pStyle w:val="3"/>
        <w:keepLines w:val="0"/>
        <w:pageBreakBefore w:val="0"/>
        <w:widowControl/>
        <w:kinsoku/>
        <w:wordWrap/>
        <w:overflowPunct/>
        <w:topLinePunct w:val="0"/>
        <w:autoSpaceDE/>
        <w:autoSpaceDN/>
        <w:bidi w:val="0"/>
        <w:adjustRightInd/>
        <w:snapToGrid/>
        <w:spacing w:beforeAutospacing="0" w:afterAutospacing="0" w:line="590" w:lineRule="exact"/>
        <w:ind w:firstLine="643"/>
        <w:jc w:val="both"/>
        <w:textAlignment w:val="auto"/>
        <w:rPr>
          <w:rFonts w:hint="default" w:ascii="仿宋_GB2312" w:hAnsi="仿宋_GB2312" w:eastAsia="仿宋_GB2312" w:cs="仿宋_GB2312"/>
          <w:color w:val="333333"/>
          <w:sz w:val="32"/>
          <w:szCs w:val="32"/>
          <w:shd w:val="clear" w:color="auto" w:fill="FFFFFF"/>
        </w:rPr>
      </w:pPr>
      <w:r>
        <w:rPr>
          <w:rFonts w:hint="default" w:ascii="仿宋_GB2312" w:hAnsi="仿宋_GB2312" w:eastAsia="仿宋_GB2312" w:cs="仿宋_GB2312"/>
          <w:color w:val="333333"/>
          <w:sz w:val="32"/>
          <w:szCs w:val="32"/>
          <w:shd w:val="clear" w:color="auto" w:fill="FFFFFF"/>
        </w:rPr>
        <w:t>2</w:t>
      </w:r>
      <w:r>
        <w:rPr>
          <w:rFonts w:ascii="仿宋_GB2312" w:hAnsi="仿宋_GB2312" w:eastAsia="仿宋_GB2312" w:cs="仿宋_GB2312"/>
          <w:color w:val="333333"/>
          <w:sz w:val="32"/>
          <w:szCs w:val="32"/>
          <w:shd w:val="clear" w:color="auto" w:fill="FFFFFF"/>
        </w:rPr>
        <w:t>.</w:t>
      </w:r>
      <w:r>
        <w:rPr>
          <w:rFonts w:hint="default" w:ascii="仿宋_GB2312" w:hAnsi="仿宋_GB2312" w:eastAsia="仿宋_GB2312" w:cs="仿宋_GB2312"/>
          <w:color w:val="333333"/>
          <w:sz w:val="32"/>
          <w:szCs w:val="32"/>
          <w:shd w:val="clear" w:color="auto" w:fill="FFFFFF"/>
        </w:rPr>
        <w:t>村庄建设通则</w:t>
      </w:r>
    </w:p>
    <w:p w14:paraId="2BAC11CC">
      <w:pPr>
        <w:pStyle w:val="7"/>
        <w:keepLines w:val="0"/>
        <w:pageBreakBefore w:val="0"/>
        <w:widowControl/>
        <w:kinsoku/>
        <w:wordWrap/>
        <w:overflowPunct/>
        <w:topLinePunct w:val="0"/>
        <w:autoSpaceDE/>
        <w:autoSpaceDN/>
        <w:bidi w:val="0"/>
        <w:adjustRightInd/>
        <w:snapToGrid/>
        <w:spacing w:beforeAutospacing="0" w:afterAutospacing="0" w:line="590" w:lineRule="exact"/>
        <w:ind w:firstLine="640"/>
        <w:jc w:val="both"/>
        <w:textAlignment w:val="auto"/>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本通则以国土空间总体规划为依据，适用于铁场城镇开发边界外且“多规合一”实用型村庄规划未覆盖的村庄，作为实施国土空间用途管制、核发乡村建设规划许可的依据，满足村庄建设基本建设和管理需求。对后续有条件和需求的村庄，可在村庄规划通则的基础上进一步细化深化编制“多规合一”实用型村庄规划或村庄管控方案，并倡导基于经济、文化、资源、产业而存在一定关联性的若干个村庄组成村庄群整体编制村庄规划。</w:t>
      </w:r>
    </w:p>
    <w:tbl>
      <w:tblPr>
        <w:tblStyle w:val="9"/>
        <w:tblW w:w="499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27"/>
      </w:tblGrid>
      <w:tr w14:paraId="4F1B7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blHeader/>
        </w:trPr>
        <w:tc>
          <w:tcPr>
            <w:tcW w:w="5000" w:type="pct"/>
            <w:shd w:val="clear" w:color="auto" w:fill="D8D8D8" w:themeFill="background1" w:themeFillShade="D9"/>
            <w:noWrap/>
            <w:vAlign w:val="center"/>
          </w:tcPr>
          <w:p w14:paraId="3D866E3B">
            <w:pPr>
              <w:jc w:val="center"/>
              <w:rPr>
                <w:rFonts w:ascii="Times New Roman" w:hAnsi="Times New Roman" w:eastAsia="仿宋_GB2312"/>
                <w:b/>
                <w:sz w:val="30"/>
                <w:szCs w:val="30"/>
              </w:rPr>
            </w:pPr>
            <w:bookmarkStart w:id="0" w:name="_Hlk176256907"/>
            <w:r>
              <w:rPr>
                <w:rFonts w:hint="eastAsia" w:ascii="Times New Roman" w:hAnsi="Times New Roman" w:eastAsia="仿宋_GB2312"/>
                <w:b/>
                <w:sz w:val="30"/>
                <w:szCs w:val="30"/>
              </w:rPr>
              <w:t>专栏：村庄规划空间管制通则表</w:t>
            </w:r>
          </w:p>
        </w:tc>
      </w:tr>
      <w:tr w14:paraId="1CE7A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5000" w:type="pct"/>
            <w:vAlign w:val="center"/>
          </w:tcPr>
          <w:p w14:paraId="0DC508BB">
            <w:pPr>
              <w:keepNext w:val="0"/>
              <w:keepLines w:val="0"/>
              <w:pageBreakBefore w:val="0"/>
              <w:kinsoku/>
              <w:wordWrap/>
              <w:overflowPunct/>
              <w:topLinePunct w:val="0"/>
              <w:autoSpaceDE/>
              <w:autoSpaceDN/>
              <w:bidi w:val="0"/>
              <w:adjustRightInd/>
              <w:snapToGrid/>
              <w:spacing w:line="590" w:lineRule="exact"/>
              <w:textAlignment w:val="auto"/>
              <w:rPr>
                <w:rFonts w:ascii="Times New Roman" w:hAnsi="Times New Roman" w:eastAsia="仿宋_GB2312"/>
                <w:b/>
                <w:bCs/>
                <w:sz w:val="28"/>
                <w:szCs w:val="28"/>
              </w:rPr>
            </w:pPr>
            <w:r>
              <w:rPr>
                <w:rFonts w:hint="eastAsia" w:ascii="Times New Roman" w:hAnsi="Times New Roman" w:eastAsia="仿宋_GB2312"/>
                <w:b/>
                <w:bCs/>
                <w:sz w:val="28"/>
                <w:szCs w:val="28"/>
              </w:rPr>
              <w:t>一、总则</w:t>
            </w:r>
          </w:p>
          <w:p w14:paraId="63FED645">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在本镇行政区范围内进行村庄规划建设活动，必须遵守本细则。本通则所称的规划区，是指村庄建设的发展需要实行控制的区域。</w:t>
            </w:r>
          </w:p>
          <w:p w14:paraId="437C26D8">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村庄规划建设管理实行统一领导、统一管理，并应当坚持合理布局，节约用地的原则，全面规划、正确引导、因地制宜，逐步建设，实现经济效益、社会效益和环境效益的统一。</w:t>
            </w:r>
          </w:p>
          <w:p w14:paraId="65F74381">
            <w:pPr>
              <w:keepNext w:val="0"/>
              <w:keepLines w:val="0"/>
              <w:pageBreakBefore w:val="0"/>
              <w:kinsoku/>
              <w:wordWrap/>
              <w:overflowPunct/>
              <w:topLinePunct w:val="0"/>
              <w:autoSpaceDE/>
              <w:autoSpaceDN/>
              <w:bidi w:val="0"/>
              <w:adjustRightInd/>
              <w:snapToGrid/>
              <w:spacing w:line="590" w:lineRule="exact"/>
              <w:textAlignment w:val="auto"/>
              <w:rPr>
                <w:rFonts w:ascii="Times New Roman" w:hAnsi="Times New Roman" w:eastAsia="仿宋_GB2312"/>
                <w:b/>
                <w:bCs/>
                <w:sz w:val="28"/>
                <w:szCs w:val="28"/>
              </w:rPr>
            </w:pPr>
            <w:r>
              <w:rPr>
                <w:rFonts w:hint="eastAsia" w:ascii="Times New Roman" w:hAnsi="Times New Roman" w:eastAsia="仿宋_GB2312"/>
                <w:b/>
                <w:bCs/>
                <w:sz w:val="28"/>
                <w:szCs w:val="28"/>
              </w:rPr>
              <w:t>二、空间管控要求</w:t>
            </w:r>
          </w:p>
          <w:p w14:paraId="4321BDD7">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严格落实耕地、永久基本农田、生态保护红线保护任务，落实“三区三线”划定成果，传导龙川县国土空间总体规划中的其他各类空间控制线，按照规划落实布局和控制要求。</w:t>
            </w:r>
          </w:p>
          <w:p w14:paraId="48D3A17C">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坚守耕地保护任务，</w:t>
            </w:r>
            <w:r>
              <w:rPr>
                <w:rFonts w:hint="eastAsia"/>
                <w:color w:val="auto"/>
                <w:kern w:val="0"/>
                <w:sz w:val="28"/>
                <w:szCs w:val="28"/>
                <w:u w:val="single"/>
              </w:rPr>
              <w:t>规划至2035年耕地保有量不少于27.09平方公里</w:t>
            </w:r>
            <w:r>
              <w:rPr>
                <w:rFonts w:hint="eastAsia"/>
                <w:color w:val="auto"/>
                <w:kern w:val="0"/>
                <w:sz w:val="28"/>
                <w:szCs w:val="28"/>
              </w:rPr>
              <w:t>。严格落实“大占补、大平衡”原则，将非农建设、造林种树、种果种茶等各类占用耕地行为统一纳入耕地占补平衡管理，确保耕地数量和质量占补平衡，符合上级下达规模要求。</w:t>
            </w:r>
          </w:p>
          <w:p w14:paraId="2DDCF4A4">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加强粮食安全、生态保护意识，村庄开发建设不得占用生态保护红线、永久基本农田。</w:t>
            </w:r>
            <w:r>
              <w:rPr>
                <w:rFonts w:hint="eastAsia"/>
                <w:color w:val="auto"/>
                <w:kern w:val="0"/>
                <w:sz w:val="28"/>
                <w:szCs w:val="28"/>
                <w:u w:val="single"/>
              </w:rPr>
              <w:t>规划至2035年生态保护红线不少于6.09平方公里、永久基本农田不少于26.05平方公里</w:t>
            </w:r>
            <w:r>
              <w:rPr>
                <w:rFonts w:hint="eastAsia"/>
                <w:color w:val="auto"/>
                <w:kern w:val="0"/>
                <w:sz w:val="28"/>
                <w:szCs w:val="28"/>
              </w:rPr>
              <w:t>。</w:t>
            </w:r>
          </w:p>
          <w:p w14:paraId="1BD43A0E">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不得在河湖管理线、地质灾害高易发区内布置宅基地、农村一二三产业项目等非必要建设。</w:t>
            </w:r>
          </w:p>
          <w:p w14:paraId="1176CF62">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加强对乡村地区土地的规划、建设和监管，确保村庄建设用地的合理布局和规模控制。村庄建设应依法依规办理相关手续，严禁未批先建等行为；加强村庄管理，遏制村庄“乱搭乱建”现象，严禁侵占集体土地。</w:t>
            </w:r>
          </w:p>
          <w:p w14:paraId="3E737E5F">
            <w:pPr>
              <w:keepNext w:val="0"/>
              <w:keepLines w:val="0"/>
              <w:pageBreakBefore w:val="0"/>
              <w:kinsoku/>
              <w:wordWrap/>
              <w:overflowPunct/>
              <w:topLinePunct w:val="0"/>
              <w:autoSpaceDE/>
              <w:autoSpaceDN/>
              <w:bidi w:val="0"/>
              <w:adjustRightInd/>
              <w:snapToGrid/>
              <w:spacing w:line="590" w:lineRule="exact"/>
              <w:textAlignment w:val="auto"/>
              <w:rPr>
                <w:rFonts w:ascii="Times New Roman" w:hAnsi="Times New Roman" w:eastAsia="仿宋_GB2312"/>
                <w:b/>
                <w:bCs/>
                <w:sz w:val="28"/>
                <w:szCs w:val="28"/>
              </w:rPr>
            </w:pPr>
            <w:r>
              <w:rPr>
                <w:rFonts w:hint="eastAsia" w:ascii="Times New Roman" w:hAnsi="Times New Roman" w:eastAsia="仿宋_GB2312"/>
                <w:b/>
                <w:bCs/>
                <w:sz w:val="28"/>
                <w:szCs w:val="28"/>
              </w:rPr>
              <w:t>三、农民建房指引</w:t>
            </w:r>
          </w:p>
          <w:p w14:paraId="1C418FFA">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规划新申请的宅基地，优先布局在村庄建设边界内，依据河源市、龙川县农村宅基地和农房建设管理的具体要求申请宅基地。零散新增的宅基地，可结合实际“一事一议”，但不得违反宅基地建设相关管理规定。严格执行“一户一宅”政策及国家、省、市、县宅基地等相关规定。</w:t>
            </w:r>
          </w:p>
          <w:p w14:paraId="335E72A7">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u w:val="single"/>
              </w:rPr>
              <w:t>规划新增宅基地村民住房建设每户用地面积不得超过150平方米，建筑总面积不超过350平方米，建筑层数不得超过三层半，总楼高不得超过13.5米</w:t>
            </w:r>
            <w:r>
              <w:rPr>
                <w:rFonts w:hint="eastAsia"/>
                <w:color w:val="auto"/>
                <w:kern w:val="0"/>
                <w:sz w:val="28"/>
                <w:szCs w:val="28"/>
              </w:rPr>
              <w:t>。新建住房应采用客家民居风格的建筑，符合村庄整体景观风貌控制性要求。鼓励位于城镇开发边界外的村庄采取集体建房方式建设住房，并满足相关指标、公共服务配套的管控要求。</w:t>
            </w:r>
          </w:p>
          <w:p w14:paraId="5811E8F8">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合理控制建设退距。高速公路、铁路、公路、架空电力线路等交通及市政要素周边开展的各类建设应遵循有关法律法规条例的规定与相关主管部门的要求进行建筑退让。新建、改建、扩建建筑物与用地界线、城镇道路、公路、河道、城镇绿地、地面轨道交通相邻时，其建筑控制线退让距离，必须综合考虑消防、抗震、防汛、防爆、交通安全以及水源保护、环境保护、电力保护及城镇景观等方面的要求。沿穿越村庄的公路两侧新建农村建筑，应满足公路安全保护条例要求。临近村庄道路的地上建筑退让道路红线应满足建筑防火设计规范；同时须留出符合村庄消防安全的距离及通道。阳台、屋檐等出挑物不应影响相邻房屋的正常通风、采光和正常使用。</w:t>
            </w:r>
          </w:p>
          <w:p w14:paraId="78928C68">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对现有宅基地申请原址重建的，参照新建宅基地要求进行管理。</w:t>
            </w:r>
          </w:p>
          <w:p w14:paraId="05F4615A">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新建农房参照河源市龙川县新建农房设计通用图集，符合风貌管控要求，符合功能现代、结构安全、成本经济、绿色环保、风貌协调的要求，建筑风格与乡村环境相协调，体现客家建筑风貌特色。</w:t>
            </w:r>
          </w:p>
          <w:p w14:paraId="7EE55218">
            <w:pPr>
              <w:keepNext w:val="0"/>
              <w:keepLines w:val="0"/>
              <w:pageBreakBefore w:val="0"/>
              <w:kinsoku/>
              <w:wordWrap/>
              <w:overflowPunct/>
              <w:topLinePunct w:val="0"/>
              <w:autoSpaceDE/>
              <w:autoSpaceDN/>
              <w:bidi w:val="0"/>
              <w:adjustRightInd/>
              <w:snapToGrid/>
              <w:spacing w:line="590" w:lineRule="exact"/>
              <w:textAlignment w:val="auto"/>
              <w:rPr>
                <w:rFonts w:ascii="Times New Roman" w:hAnsi="Times New Roman" w:eastAsia="仿宋_GB2312"/>
                <w:b/>
                <w:bCs/>
                <w:sz w:val="28"/>
                <w:szCs w:val="28"/>
              </w:rPr>
            </w:pPr>
            <w:r>
              <w:rPr>
                <w:rFonts w:hint="eastAsia" w:ascii="Times New Roman" w:hAnsi="Times New Roman" w:eastAsia="仿宋_GB2312"/>
                <w:b/>
                <w:bCs/>
                <w:sz w:val="28"/>
                <w:szCs w:val="28"/>
              </w:rPr>
              <w:t>四、设施配套指引</w:t>
            </w:r>
          </w:p>
          <w:p w14:paraId="58F87358">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电力、广播、有线电视、通信电缆、供水、排水等有关设施统一由镇规划、布置、实施。应当优先利用现有建设用地、闲置地和废弃地布局公用设施，原则上容积率不超过2.0，建筑密度不超过40%，绿地率不小于15%，建筑高度不超40米，如有特殊情况在符合相关部门规定的情况下可适当调整。公用设施建设时应与本村居住建筑配套建设，保持整体建筑风格一致。</w:t>
            </w:r>
          </w:p>
          <w:p w14:paraId="473592B7">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公共管理与公共服务用地应符合村庄规划相关要求，原则上容积率不超过2.5，建筑密度不超过40%，绿地率不小于35%，建筑高度不超40米，如有特殊情况在符合相关部门规定的情况下可适当调整。</w:t>
            </w:r>
          </w:p>
          <w:p w14:paraId="4CF23BC0">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乡村公共设施建设不得占用交通用地建设，其他建设退距要求可参考农民建房相关建设退距要求。</w:t>
            </w:r>
          </w:p>
          <w:p w14:paraId="450278EB">
            <w:pPr>
              <w:keepNext w:val="0"/>
              <w:keepLines w:val="0"/>
              <w:pageBreakBefore w:val="0"/>
              <w:kinsoku/>
              <w:wordWrap/>
              <w:overflowPunct/>
              <w:topLinePunct w:val="0"/>
              <w:autoSpaceDE/>
              <w:autoSpaceDN/>
              <w:bidi w:val="0"/>
              <w:adjustRightInd/>
              <w:snapToGrid/>
              <w:spacing w:line="590" w:lineRule="exact"/>
              <w:textAlignment w:val="auto"/>
              <w:rPr>
                <w:rFonts w:ascii="Times New Roman" w:hAnsi="Times New Roman" w:eastAsia="仿宋_GB2312"/>
                <w:b/>
                <w:bCs/>
                <w:sz w:val="28"/>
                <w:szCs w:val="28"/>
              </w:rPr>
            </w:pPr>
            <w:r>
              <w:rPr>
                <w:rFonts w:hint="eastAsia" w:ascii="Times New Roman" w:hAnsi="Times New Roman" w:eastAsia="仿宋_GB2312"/>
                <w:b/>
                <w:bCs/>
                <w:sz w:val="28"/>
                <w:szCs w:val="28"/>
              </w:rPr>
              <w:t>五、乡村产业用地</w:t>
            </w:r>
          </w:p>
          <w:p w14:paraId="6AC3D94C">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明确乡村产业项目建设要求。允许符合国土空间规划管控规则、有特定选址要求的农村一二三产业融合发展项目、零星城镇建设项目以及符合国家相关政策文件要求的乡村振兴建设项目布局在城镇开发边界外的村庄用地中。国家明令淘汰的落后产能、列入国家禁止类产业目录的、污染环境的项目，不得进入乡村。</w:t>
            </w:r>
          </w:p>
          <w:p w14:paraId="37ED93DD">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村庄产业用地选址和指标管控要求应符合相关规范，遵循节约用地原则。原则上商业服务业用地容积率不超过3.5，建筑密度不超过40%，绿地率不小于25%，建筑高度不超60米；工业用地容积率控制在0.8-4.0，建筑密度控制在35%-60%，绿地率不小于20%，建筑高度不超60米；仓储用地容积率不超过3.5，建筑密度控制在35%-60%，绿地率不小于20%，建筑高度不超50米；如有特殊情况在符合相关部门规定的情况下可适当调整。</w:t>
            </w:r>
          </w:p>
          <w:p w14:paraId="1247D69A">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村庄建设边界范围内，经营性用地（含商业、工业、仓储等用地）可以用于公共设施用地（含公共管理与公共服务、公用设施等用地），经营性用地和公共设施用地在各自类别内部可以相互调剂使用。</w:t>
            </w:r>
          </w:p>
          <w:p w14:paraId="0FF4BF04">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利用农村本地资源开展农产品分拣、初加工、发展休闲观光旅游等必需的配套设施建设，可在不占用永久基本农田和生态保护红线等约束条件、符合国土空间规划、不破坏生态环境和乡村风貌的前提下，在村庄建设边界外安排少量建设用地。</w:t>
            </w:r>
          </w:p>
          <w:p w14:paraId="71AB8A6B">
            <w:pPr>
              <w:keepNext w:val="0"/>
              <w:keepLines w:val="0"/>
              <w:pageBreakBefore w:val="0"/>
              <w:kinsoku/>
              <w:wordWrap/>
              <w:overflowPunct/>
              <w:topLinePunct w:val="0"/>
              <w:autoSpaceDE/>
              <w:autoSpaceDN/>
              <w:bidi w:val="0"/>
              <w:adjustRightInd/>
              <w:snapToGrid/>
              <w:spacing w:line="590" w:lineRule="exact"/>
              <w:textAlignment w:val="auto"/>
              <w:rPr>
                <w:rFonts w:ascii="Times New Roman" w:hAnsi="Times New Roman" w:eastAsia="仿宋_GB2312"/>
                <w:b/>
                <w:bCs/>
                <w:sz w:val="28"/>
                <w:szCs w:val="28"/>
              </w:rPr>
            </w:pPr>
            <w:r>
              <w:rPr>
                <w:rFonts w:hint="eastAsia" w:ascii="Times New Roman" w:hAnsi="Times New Roman" w:eastAsia="仿宋_GB2312"/>
                <w:b/>
                <w:bCs/>
                <w:sz w:val="28"/>
                <w:szCs w:val="28"/>
              </w:rPr>
              <w:t>六、安全韧性指引</w:t>
            </w:r>
          </w:p>
          <w:p w14:paraId="38604BB0">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村民的宅基地选址和农房建设须避开自然灾害易发地区。洪涝风险控制线内禁止以下活动：违法违规占用河湖、水库、山塘、蓄滞洪空间和排涝通道等的建筑物、构筑物。擅自填埋、占用控制线范围内水域。影响水系安全的爆破、采石、取土，擅自建设各类排污设施。其他对水系保护构成破坏的活动。</w:t>
            </w:r>
          </w:p>
          <w:p w14:paraId="073BA450">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高速公路、铁路、公路、架空电力线路等交通及市政要素周边建房的应遵循有关法律法规条例的规定与相关主管部门的要求进行建筑退让。</w:t>
            </w:r>
          </w:p>
          <w:p w14:paraId="3FF817DF">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村庄建筑的间距和通道的设置应符合村庄消防安全的要求；道路为消防通道，不准长期堆放阻碍交通的杂物。学校、广场等为防灾避险场所，紧急情况下可躲避灾害。</w:t>
            </w:r>
          </w:p>
          <w:p w14:paraId="74062F14">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村庄环路兼起消防通道作用，道路宽度不得小于4米。村主干道和次干道作为紧急疏散通道，用于震时疏散和震后救灾，平时应保持道路的畅通，避免堵塞。道路为消防通道，不准长期堆放阻碍交通的杂物。</w:t>
            </w:r>
          </w:p>
          <w:p w14:paraId="492F9479">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健全乡村防灾减灾体系建设。可结合民宿、乡村休闲综合体、旅游酒店、康养设施改造，植入隔离、转移安置、生活救助和健康服务等“</w:t>
            </w:r>
            <w:r>
              <w:rPr>
                <w:rFonts w:hint="eastAsia"/>
                <w:color w:val="auto"/>
                <w:kern w:val="0"/>
                <w:sz w:val="28"/>
                <w:szCs w:val="28"/>
                <w:lang w:eastAsia="zh-CN"/>
              </w:rPr>
              <w:t>应急</w:t>
            </w:r>
            <w:r>
              <w:rPr>
                <w:rFonts w:hint="eastAsia"/>
                <w:color w:val="auto"/>
                <w:kern w:val="0"/>
                <w:sz w:val="28"/>
                <w:szCs w:val="28"/>
              </w:rPr>
              <w:t>”功能。利用广场、公园、打谷场等开敞空间，设置应急避难场所。利用公共服务、物流、旅游等设施，嵌入物资储备、应急医疗服务点等应急保障功能。</w:t>
            </w:r>
          </w:p>
          <w:p w14:paraId="7634B4CA">
            <w:pPr>
              <w:keepNext w:val="0"/>
              <w:keepLines w:val="0"/>
              <w:pageBreakBefore w:val="0"/>
              <w:kinsoku/>
              <w:wordWrap/>
              <w:overflowPunct/>
              <w:topLinePunct w:val="0"/>
              <w:autoSpaceDE/>
              <w:autoSpaceDN/>
              <w:bidi w:val="0"/>
              <w:adjustRightInd/>
              <w:snapToGrid/>
              <w:spacing w:line="590" w:lineRule="exact"/>
              <w:textAlignment w:val="auto"/>
              <w:rPr>
                <w:rFonts w:ascii="Times New Roman" w:hAnsi="Times New Roman" w:eastAsia="仿宋_GB2312"/>
                <w:b/>
                <w:bCs/>
                <w:sz w:val="28"/>
                <w:szCs w:val="28"/>
              </w:rPr>
            </w:pPr>
            <w:r>
              <w:rPr>
                <w:rFonts w:hint="eastAsia" w:ascii="Times New Roman" w:hAnsi="Times New Roman" w:eastAsia="仿宋_GB2312"/>
                <w:b/>
                <w:bCs/>
                <w:sz w:val="28"/>
                <w:szCs w:val="28"/>
              </w:rPr>
              <w:t>七、环境保护要求</w:t>
            </w:r>
            <w:bookmarkStart w:id="1" w:name="_GoBack"/>
            <w:bookmarkEnd w:id="1"/>
          </w:p>
          <w:p w14:paraId="0FF3271C">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严格保护自然生态，未经许可，任何单位和个人不得挖山取土、采伐、采挖林木，破坏自然山体。</w:t>
            </w:r>
          </w:p>
          <w:p w14:paraId="7A84FD19">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禁止在生态保护区、饮用水源保护区内开展破坏景观资源、污染环境的生产建设活动；镇域范围内杜绝发生破坏野生珍稀动植物与污染环境现象，保护好本村的森林、动物以及生态环境。</w:t>
            </w:r>
          </w:p>
          <w:p w14:paraId="242B1182">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鼓励庭院绿化，所建房屋与道路及方位错位所产生的多余零星地块，属集体所有，一般作为绿化用地使用，鼓励由村统一规划，村民不得私自占用。</w:t>
            </w:r>
          </w:p>
          <w:p w14:paraId="1057BF0C">
            <w:pPr>
              <w:keepNext w:val="0"/>
              <w:keepLines w:val="0"/>
              <w:pageBreakBefore w:val="0"/>
              <w:kinsoku/>
              <w:wordWrap/>
              <w:overflowPunct/>
              <w:topLinePunct w:val="0"/>
              <w:autoSpaceDE/>
              <w:autoSpaceDN/>
              <w:bidi w:val="0"/>
              <w:adjustRightInd/>
              <w:snapToGrid/>
              <w:spacing w:line="590" w:lineRule="exact"/>
              <w:textAlignment w:val="auto"/>
              <w:rPr>
                <w:rFonts w:ascii="Times New Roman" w:hAnsi="Times New Roman" w:eastAsia="仿宋_GB2312"/>
                <w:b/>
                <w:bCs/>
                <w:sz w:val="28"/>
                <w:szCs w:val="28"/>
              </w:rPr>
            </w:pPr>
            <w:r>
              <w:rPr>
                <w:rFonts w:hint="eastAsia" w:ascii="Times New Roman" w:hAnsi="Times New Roman" w:eastAsia="仿宋_GB2312"/>
                <w:b/>
                <w:bCs/>
                <w:sz w:val="28"/>
                <w:szCs w:val="28"/>
              </w:rPr>
              <w:t>八、历史文化传承与保护</w:t>
            </w:r>
          </w:p>
          <w:p w14:paraId="065D5B5A">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历史文物保护单位、历史建筑、不可移动文物等历史文化资源，依照相应法律法规、保护规划和上位规划要求进行管控。</w:t>
            </w:r>
          </w:p>
          <w:p w14:paraId="2A69D5B2">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color w:val="auto"/>
                <w:kern w:val="0"/>
                <w:sz w:val="28"/>
                <w:szCs w:val="28"/>
              </w:rPr>
            </w:pPr>
            <w:r>
              <w:rPr>
                <w:rFonts w:hint="eastAsia"/>
                <w:color w:val="auto"/>
                <w:kern w:val="0"/>
                <w:sz w:val="28"/>
                <w:szCs w:val="28"/>
              </w:rPr>
              <w:t>保护现有古树名木，对村庄古树名木开展普查并挂牌保护，相关建设项目涉及古树名木的，应当在选址、设计、施工等环节采取避让措施。国家和省重点建设项目确需在古树名木保护范围内进行施工，无法避让的，建设单位应当在施工前制定保护方案，按程序报批，对于违反古树名木管理规定的行为，依法追究责任。</w:t>
            </w:r>
          </w:p>
          <w:p w14:paraId="408ADC9E">
            <w:pPr>
              <w:pStyle w:val="13"/>
              <w:keepNext w:val="0"/>
              <w:keepLines w:val="0"/>
              <w:pageBreakBefore w:val="0"/>
              <w:widowControl/>
              <w:numPr>
                <w:ilvl w:val="1"/>
                <w:numId w:val="1"/>
              </w:numPr>
              <w:kinsoku/>
              <w:wordWrap/>
              <w:overflowPunct/>
              <w:topLinePunct w:val="0"/>
              <w:autoSpaceDE/>
              <w:autoSpaceDN/>
              <w:bidi w:val="0"/>
              <w:adjustRightInd/>
              <w:snapToGrid/>
              <w:spacing w:line="590" w:lineRule="exact"/>
              <w:ind w:firstLine="560"/>
              <w:textAlignment w:val="auto"/>
              <w:rPr>
                <w:kern w:val="0"/>
                <w:sz w:val="24"/>
                <w:szCs w:val="24"/>
              </w:rPr>
            </w:pPr>
            <w:r>
              <w:rPr>
                <w:rFonts w:hint="eastAsia"/>
                <w:color w:val="auto"/>
                <w:kern w:val="0"/>
                <w:sz w:val="28"/>
                <w:szCs w:val="28"/>
              </w:rPr>
              <w:t>对村庄内具有较高文化价值的历史文化要素，应保留原有状况、面貌及环境，并对建筑进行必要的维护和修缮。对于非物质文化遗产，要注重传承人的培养和技艺的传承。</w:t>
            </w:r>
          </w:p>
        </w:tc>
      </w:tr>
      <w:bookmarkEnd w:id="0"/>
    </w:tbl>
    <w:p w14:paraId="07E81150">
      <w:pPr>
        <w:pStyle w:val="7"/>
        <w:widowControl/>
        <w:spacing w:beforeAutospacing="0" w:after="300" w:afterAutospacing="0" w:line="560" w:lineRule="exact"/>
        <w:ind w:firstLine="8966" w:firstLineChars="2802"/>
        <w:jc w:val="both"/>
        <w:rPr>
          <w:rFonts w:ascii="仿宋_GB2312" w:hAnsi="仿宋_GB2312" w:eastAsia="仿宋_GB2312" w:cs="仿宋_GB2312"/>
          <w:color w:val="333333"/>
          <w:sz w:val="32"/>
          <w:szCs w:val="32"/>
          <w:shd w:val="clear" w:color="auto" w:fill="FFFFFF"/>
        </w:rPr>
      </w:pPr>
    </w:p>
    <w:p w14:paraId="4F1B232E">
      <w:pPr>
        <w:pStyle w:val="7"/>
        <w:widowControl/>
        <w:spacing w:beforeAutospacing="0" w:after="300" w:afterAutospacing="0" w:line="560" w:lineRule="exact"/>
        <w:ind w:firstLine="8966" w:firstLineChars="2802"/>
        <w:jc w:val="both"/>
        <w:rPr>
          <w:rFonts w:ascii="仿宋_GB2312" w:hAnsi="仿宋_GB2312" w:eastAsia="仿宋_GB2312" w:cs="仿宋_GB2312"/>
          <w:color w:val="333333"/>
          <w:sz w:val="32"/>
          <w:szCs w:val="32"/>
          <w:shd w:val="clear" w:color="auto" w:fill="FFFFFF"/>
        </w:rPr>
      </w:pPr>
    </w:p>
    <w:p w14:paraId="66FEEC4C">
      <w:pPr>
        <w:pStyle w:val="7"/>
        <w:widowControl/>
        <w:spacing w:beforeAutospacing="0" w:after="300" w:afterAutospacing="0" w:line="560" w:lineRule="exact"/>
        <w:ind w:firstLine="8966" w:firstLineChars="2802"/>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龙川县铁场镇人民政府</w:t>
      </w:r>
    </w:p>
    <w:p w14:paraId="309278DD">
      <w:pPr>
        <w:pStyle w:val="7"/>
        <w:widowControl/>
        <w:tabs>
          <w:tab w:val="left" w:pos="9133"/>
        </w:tabs>
        <w:spacing w:beforeAutospacing="0" w:after="300" w:afterAutospacing="0" w:line="560" w:lineRule="exact"/>
        <w:jc w:val="both"/>
        <w:rPr>
          <w:rFonts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ab/>
      </w:r>
      <w:r>
        <w:rPr>
          <w:rFonts w:hint="eastAsia" w:ascii="仿宋_GB2312" w:hAnsi="仿宋_GB2312" w:eastAsia="仿宋_GB2312" w:cs="仿宋_GB2312"/>
          <w:color w:val="333333"/>
          <w:sz w:val="32"/>
          <w:szCs w:val="32"/>
          <w:shd w:val="clear" w:color="auto" w:fill="FFFFFF"/>
        </w:rPr>
        <w:t>2026年7月7日</w:t>
      </w:r>
    </w:p>
    <w:p w14:paraId="57A6D469">
      <w:pPr>
        <w:pStyle w:val="7"/>
        <w:widowControl/>
        <w:spacing w:beforeAutospacing="0" w:after="300" w:afterAutospacing="0" w:line="560" w:lineRule="exact"/>
        <w:jc w:val="both"/>
        <w:rPr>
          <w:rFonts w:ascii="仿宋_GB2312" w:hAnsi="仿宋_GB2312" w:eastAsia="仿宋_GB2312" w:cs="仿宋_GB2312"/>
          <w:color w:val="333333"/>
          <w:sz w:val="32"/>
          <w:szCs w:val="32"/>
          <w:shd w:val="clear" w:color="auto" w:fill="FFFFFF"/>
        </w:rPr>
      </w:pPr>
    </w:p>
    <w:p w14:paraId="5D746B09">
      <w:pPr>
        <w:pStyle w:val="7"/>
        <w:widowControl/>
        <w:spacing w:beforeAutospacing="0" w:after="300" w:afterAutospacing="0" w:line="560" w:lineRule="exact"/>
        <w:jc w:val="both"/>
        <w:rPr>
          <w:rFonts w:ascii="仿宋_GB2312" w:hAnsi="仿宋_GB2312" w:eastAsia="仿宋_GB2312" w:cs="仿宋_GB2312"/>
          <w:color w:val="333333"/>
          <w:sz w:val="32"/>
          <w:szCs w:val="32"/>
          <w:shd w:val="clear" w:color="auto" w:fill="FFFFFF"/>
        </w:rPr>
      </w:pPr>
    </w:p>
    <w:p w14:paraId="2E296453">
      <w:pPr>
        <w:pStyle w:val="7"/>
        <w:widowControl/>
        <w:spacing w:beforeAutospacing="0" w:after="300" w:afterAutospacing="0" w:line="560" w:lineRule="exact"/>
        <w:ind w:firstLine="64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xml:space="preserve">  附图：1.镇域国土空间总体格局规划图</w:t>
      </w:r>
    </w:p>
    <w:p w14:paraId="14F41CA8">
      <w:pPr>
        <w:pStyle w:val="7"/>
        <w:widowControl/>
        <w:spacing w:beforeAutospacing="0" w:after="300" w:afterAutospacing="0" w:line="560" w:lineRule="exact"/>
        <w:ind w:firstLine="1929" w:firstLineChars="603"/>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2.镇域国土空间控制线规划图</w:t>
      </w:r>
    </w:p>
    <w:p w14:paraId="1D8C175D">
      <w:pPr>
        <w:pStyle w:val="7"/>
        <w:widowControl/>
        <w:spacing w:beforeAutospacing="0" w:after="300" w:afterAutospacing="0" w:line="560" w:lineRule="exact"/>
        <w:ind w:firstLine="1929" w:firstLineChars="603"/>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3.镇域国土空间用地规划图</w:t>
      </w:r>
    </w:p>
    <w:p w14:paraId="4FEAE1B4">
      <w:pPr>
        <w:pStyle w:val="7"/>
        <w:widowControl/>
        <w:spacing w:beforeAutospacing="0" w:after="300" w:afterAutospacing="0" w:line="560" w:lineRule="exact"/>
        <w:ind w:firstLine="1929" w:firstLineChars="603"/>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4.镇域城乡生活圈和公共服务设施规划图</w:t>
      </w:r>
    </w:p>
    <w:p w14:paraId="3E84060B">
      <w:pPr>
        <w:pStyle w:val="7"/>
        <w:widowControl/>
        <w:spacing w:beforeAutospacing="0" w:after="300" w:afterAutospacing="0" w:line="560" w:lineRule="exact"/>
        <w:ind w:firstLine="1929" w:firstLineChars="603"/>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5.镇域基础设施规划图</w:t>
      </w:r>
    </w:p>
    <w:p w14:paraId="70CD2625">
      <w:pPr>
        <w:pStyle w:val="7"/>
        <w:widowControl/>
        <w:spacing w:beforeAutospacing="0" w:after="300" w:afterAutospacing="0" w:line="560" w:lineRule="exact"/>
        <w:ind w:firstLine="1929" w:firstLineChars="603"/>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6.</w:t>
      </w:r>
      <w:r>
        <w:rPr>
          <w:rFonts w:hint="eastAsia"/>
        </w:rPr>
        <w:t xml:space="preserve"> </w:t>
      </w:r>
      <w:r>
        <w:rPr>
          <w:rFonts w:hint="eastAsia" w:ascii="仿宋_GB2312" w:hAnsi="仿宋_GB2312" w:eastAsia="仿宋_GB2312" w:cs="仿宋_GB2312"/>
          <w:color w:val="333333"/>
          <w:sz w:val="32"/>
          <w:szCs w:val="32"/>
          <w:shd w:val="clear" w:color="auto" w:fill="FFFFFF"/>
        </w:rPr>
        <w:t>镇域城镇村体系规划图</w:t>
      </w:r>
    </w:p>
    <w:p w14:paraId="20708624">
      <w:pPr>
        <w:pStyle w:val="7"/>
        <w:widowControl/>
        <w:spacing w:beforeAutospacing="0" w:after="300" w:afterAutospacing="0" w:line="560" w:lineRule="exact"/>
        <w:ind w:firstLine="1929" w:firstLineChars="603"/>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7.镇区土地使用规划图</w:t>
      </w:r>
    </w:p>
    <w:p w14:paraId="57E0BB23">
      <w:pPr>
        <w:pStyle w:val="7"/>
        <w:widowControl/>
        <w:spacing w:beforeAutospacing="0" w:after="300" w:afterAutospacing="0" w:line="560" w:lineRule="exact"/>
        <w:jc w:val="both"/>
        <w:rPr>
          <w:rFonts w:ascii="仿宋_GB2312" w:hAnsi="仿宋_GB2312" w:eastAsia="仿宋_GB2312" w:cs="仿宋_GB2312"/>
          <w:color w:val="333333"/>
          <w:sz w:val="32"/>
          <w:szCs w:val="32"/>
          <w:shd w:val="clear" w:color="auto" w:fill="FFFFFF"/>
        </w:rPr>
        <w:sectPr>
          <w:pgSz w:w="16838" w:h="23811"/>
          <w:pgMar w:top="1440" w:right="1800" w:bottom="1440" w:left="1800" w:header="851" w:footer="992" w:gutter="0"/>
          <w:cols w:space="425" w:num="1"/>
          <w:docGrid w:type="lines" w:linePitch="312" w:charSpace="0"/>
        </w:sectPr>
      </w:pPr>
    </w:p>
    <w:p w14:paraId="617EC267">
      <w:pPr>
        <w:pStyle w:val="8"/>
        <w:ind w:firstLine="640"/>
        <w:sectPr>
          <w:type w:val="continuous"/>
          <w:pgSz w:w="16838" w:h="23811"/>
          <w:pgMar w:top="1440" w:right="1800" w:bottom="1440" w:left="1800" w:header="851" w:footer="992" w:gutter="0"/>
          <w:cols w:space="425" w:num="1"/>
          <w:docGrid w:type="lines" w:linePitch="312" w:charSpace="0"/>
        </w:sectPr>
      </w:pPr>
    </w:p>
    <w:p w14:paraId="032B3D15">
      <w:pPr>
        <w:pStyle w:val="8"/>
        <w:spacing w:before="0" w:beforeAutospacing="0"/>
        <w:ind w:left="0" w:firstLine="0" w:firstLineChars="0"/>
        <w:jc w:val="center"/>
      </w:pPr>
      <w:r>
        <w:rPr>
          <w:rFonts w:hint="eastAsia"/>
        </w:rPr>
        <w:drawing>
          <wp:inline distT="0" distB="0" distL="114300" distR="114300">
            <wp:extent cx="11797665" cy="8342630"/>
            <wp:effectExtent l="0" t="0" r="13335" b="1270"/>
            <wp:docPr id="7" name="图片 7" descr="02《龙川县铁场镇国土空间总体规划（2021-2035年）》图集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2《龙川县铁场镇国土空间总体规划（2021-2035年）》图集_09"/>
                    <pic:cNvPicPr>
                      <a:picLocks noChangeAspect="1"/>
                    </pic:cNvPicPr>
                  </pic:nvPicPr>
                  <pic:blipFill>
                    <a:blip r:embed="rId4"/>
                    <a:stretch>
                      <a:fillRect/>
                    </a:stretch>
                  </pic:blipFill>
                  <pic:spPr>
                    <a:xfrm>
                      <a:off x="0" y="0"/>
                      <a:ext cx="11797665" cy="8342630"/>
                    </a:xfrm>
                    <a:prstGeom prst="rect">
                      <a:avLst/>
                    </a:prstGeom>
                  </pic:spPr>
                </pic:pic>
              </a:graphicData>
            </a:graphic>
          </wp:inline>
        </w:drawing>
      </w:r>
    </w:p>
    <w:p w14:paraId="71631116">
      <w:pPr>
        <w:pStyle w:val="8"/>
        <w:ind w:left="0" w:firstLine="0" w:firstLineChars="0"/>
        <w:jc w:val="center"/>
      </w:pPr>
      <w:r>
        <w:rPr>
          <w:rFonts w:hint="eastAsia"/>
        </w:rPr>
        <w:drawing>
          <wp:inline distT="0" distB="0" distL="114300" distR="114300">
            <wp:extent cx="11796395" cy="8341360"/>
            <wp:effectExtent l="0" t="0" r="14605" b="2540"/>
            <wp:docPr id="8" name="图片 8" descr="02《龙川县铁场镇国土空间总体规划（2021-2035年）》图集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02《龙川县铁场镇国土空间总体规划（2021-2035年）》图集_10"/>
                    <pic:cNvPicPr>
                      <a:picLocks noChangeAspect="1"/>
                    </pic:cNvPicPr>
                  </pic:nvPicPr>
                  <pic:blipFill>
                    <a:blip r:embed="rId5"/>
                    <a:stretch>
                      <a:fillRect/>
                    </a:stretch>
                  </pic:blipFill>
                  <pic:spPr>
                    <a:xfrm>
                      <a:off x="0" y="0"/>
                      <a:ext cx="11796395" cy="8341360"/>
                    </a:xfrm>
                    <a:prstGeom prst="rect">
                      <a:avLst/>
                    </a:prstGeom>
                  </pic:spPr>
                </pic:pic>
              </a:graphicData>
            </a:graphic>
          </wp:inline>
        </w:drawing>
      </w:r>
    </w:p>
    <w:p w14:paraId="22389237">
      <w:pPr>
        <w:pStyle w:val="8"/>
        <w:spacing w:before="0" w:beforeAutospacing="0"/>
        <w:ind w:left="0" w:firstLine="0" w:firstLineChars="0"/>
        <w:jc w:val="center"/>
      </w:pPr>
      <w:r>
        <w:rPr>
          <w:rFonts w:hint="eastAsia"/>
        </w:rPr>
        <w:drawing>
          <wp:inline distT="0" distB="0" distL="114300" distR="114300">
            <wp:extent cx="11796395" cy="8341360"/>
            <wp:effectExtent l="0" t="0" r="14605" b="2540"/>
            <wp:docPr id="9" name="图片 9" descr="02《龙川县铁场镇国土空间总体规划（2021-2035年）》图集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02《龙川县铁场镇国土空间总体规划（2021-2035年）》图集_11"/>
                    <pic:cNvPicPr>
                      <a:picLocks noChangeAspect="1"/>
                    </pic:cNvPicPr>
                  </pic:nvPicPr>
                  <pic:blipFill>
                    <a:blip r:embed="rId6"/>
                    <a:stretch>
                      <a:fillRect/>
                    </a:stretch>
                  </pic:blipFill>
                  <pic:spPr>
                    <a:xfrm>
                      <a:off x="0" y="0"/>
                      <a:ext cx="11796395" cy="8341360"/>
                    </a:xfrm>
                    <a:prstGeom prst="rect">
                      <a:avLst/>
                    </a:prstGeom>
                  </pic:spPr>
                </pic:pic>
              </a:graphicData>
            </a:graphic>
          </wp:inline>
        </w:drawing>
      </w:r>
    </w:p>
    <w:p w14:paraId="60242D01">
      <w:pPr>
        <w:pStyle w:val="8"/>
        <w:spacing w:before="0" w:beforeAutospacing="0"/>
        <w:ind w:left="0" w:firstLine="0" w:firstLineChars="0"/>
        <w:jc w:val="center"/>
      </w:pPr>
      <w:r>
        <w:rPr>
          <w:rFonts w:hint="eastAsia"/>
        </w:rPr>
        <w:drawing>
          <wp:inline distT="0" distB="0" distL="114300" distR="114300">
            <wp:extent cx="11796395" cy="8341360"/>
            <wp:effectExtent l="0" t="0" r="14605" b="2540"/>
            <wp:docPr id="10" name="图片 10" descr="02《龙川县铁场镇国土空间总体规划（2021-2035年）》图集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02《龙川县铁场镇国土空间总体规划（2021-2035年）》图集_15"/>
                    <pic:cNvPicPr>
                      <a:picLocks noChangeAspect="1"/>
                    </pic:cNvPicPr>
                  </pic:nvPicPr>
                  <pic:blipFill>
                    <a:blip r:embed="rId7"/>
                    <a:stretch>
                      <a:fillRect/>
                    </a:stretch>
                  </pic:blipFill>
                  <pic:spPr>
                    <a:xfrm>
                      <a:off x="0" y="0"/>
                      <a:ext cx="11796395" cy="8341360"/>
                    </a:xfrm>
                    <a:prstGeom prst="rect">
                      <a:avLst/>
                    </a:prstGeom>
                  </pic:spPr>
                </pic:pic>
              </a:graphicData>
            </a:graphic>
          </wp:inline>
        </w:drawing>
      </w:r>
    </w:p>
    <w:p w14:paraId="39FAAEFE">
      <w:pPr>
        <w:pStyle w:val="8"/>
        <w:spacing w:before="0" w:beforeAutospacing="0"/>
        <w:ind w:left="0" w:firstLine="0" w:firstLineChars="0"/>
        <w:jc w:val="center"/>
      </w:pPr>
      <w:r>
        <w:rPr>
          <w:rFonts w:hint="eastAsia"/>
        </w:rPr>
        <w:drawing>
          <wp:inline distT="0" distB="0" distL="114300" distR="114300">
            <wp:extent cx="11796395" cy="8341360"/>
            <wp:effectExtent l="0" t="0" r="14605" b="2540"/>
            <wp:docPr id="11" name="图片 11" descr="02《龙川县铁场镇国土空间总体规划（2021-2035年）》图集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02《龙川县铁场镇国土空间总体规划（2021-2035年）》图集_17"/>
                    <pic:cNvPicPr>
                      <a:picLocks noChangeAspect="1"/>
                    </pic:cNvPicPr>
                  </pic:nvPicPr>
                  <pic:blipFill>
                    <a:blip r:embed="rId8"/>
                    <a:stretch>
                      <a:fillRect/>
                    </a:stretch>
                  </pic:blipFill>
                  <pic:spPr>
                    <a:xfrm>
                      <a:off x="0" y="0"/>
                      <a:ext cx="11796395" cy="8341360"/>
                    </a:xfrm>
                    <a:prstGeom prst="rect">
                      <a:avLst/>
                    </a:prstGeom>
                  </pic:spPr>
                </pic:pic>
              </a:graphicData>
            </a:graphic>
          </wp:inline>
        </w:drawing>
      </w:r>
    </w:p>
    <w:p w14:paraId="1C667985">
      <w:pPr>
        <w:pStyle w:val="8"/>
        <w:spacing w:before="0" w:beforeAutospacing="0"/>
        <w:ind w:left="0" w:firstLine="0" w:firstLineChars="0"/>
        <w:jc w:val="center"/>
      </w:pPr>
      <w:r>
        <w:rPr>
          <w:rFonts w:hint="eastAsia"/>
        </w:rPr>
        <w:drawing>
          <wp:inline distT="0" distB="0" distL="114300" distR="114300">
            <wp:extent cx="11796395" cy="8341360"/>
            <wp:effectExtent l="0" t="0" r="14605" b="2540"/>
            <wp:docPr id="12" name="图片 12" descr="02《龙川县铁场镇国土空间总体规划（2021-2035年）》图集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02《龙川县铁场镇国土空间总体规划（2021-2035年）》图集_14"/>
                    <pic:cNvPicPr>
                      <a:picLocks noChangeAspect="1"/>
                    </pic:cNvPicPr>
                  </pic:nvPicPr>
                  <pic:blipFill>
                    <a:blip r:embed="rId9"/>
                    <a:stretch>
                      <a:fillRect/>
                    </a:stretch>
                  </pic:blipFill>
                  <pic:spPr>
                    <a:xfrm>
                      <a:off x="0" y="0"/>
                      <a:ext cx="11796395" cy="8341360"/>
                    </a:xfrm>
                    <a:prstGeom prst="rect">
                      <a:avLst/>
                    </a:prstGeom>
                  </pic:spPr>
                </pic:pic>
              </a:graphicData>
            </a:graphic>
          </wp:inline>
        </w:drawing>
      </w:r>
    </w:p>
    <w:p w14:paraId="54E604A9">
      <w:pPr>
        <w:pStyle w:val="8"/>
        <w:spacing w:before="0" w:beforeAutospacing="0"/>
        <w:ind w:left="0" w:firstLine="0" w:firstLineChars="0"/>
        <w:jc w:val="center"/>
      </w:pPr>
      <w:r>
        <w:rPr>
          <w:rFonts w:hint="eastAsia"/>
        </w:rPr>
        <w:drawing>
          <wp:inline distT="0" distB="0" distL="114300" distR="114300">
            <wp:extent cx="11796395" cy="8341360"/>
            <wp:effectExtent l="0" t="0" r="14605" b="2540"/>
            <wp:docPr id="13" name="图片 13" descr="02《龙川县铁场镇国土空间总体规划（2021-2035年）》图集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02《龙川县铁场镇国土空间总体规划（2021-2035年）》图集_24"/>
                    <pic:cNvPicPr>
                      <a:picLocks noChangeAspect="1"/>
                    </pic:cNvPicPr>
                  </pic:nvPicPr>
                  <pic:blipFill>
                    <a:blip r:embed="rId10"/>
                    <a:stretch>
                      <a:fillRect/>
                    </a:stretch>
                  </pic:blipFill>
                  <pic:spPr>
                    <a:xfrm>
                      <a:off x="0" y="0"/>
                      <a:ext cx="11796395" cy="8341360"/>
                    </a:xfrm>
                    <a:prstGeom prst="rect">
                      <a:avLst/>
                    </a:prstGeom>
                  </pic:spPr>
                </pic:pic>
              </a:graphicData>
            </a:graphic>
          </wp:inline>
        </w:drawing>
      </w:r>
    </w:p>
    <w:sectPr>
      <w:pgSz w:w="23811" w:h="16838"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50308F"/>
    <w:multiLevelType w:val="multilevel"/>
    <w:tmpl w:val="DC50308F"/>
    <w:lvl w:ilvl="0" w:tentative="0">
      <w:start w:val="1"/>
      <w:numFmt w:val="decimal"/>
      <w:suff w:val="space"/>
      <w:lvlText w:val="第%1条"/>
      <w:lvlJc w:val="left"/>
      <w:pPr>
        <w:ind w:left="420" w:hanging="420"/>
      </w:pPr>
      <w:rPr>
        <w:rFonts w:hint="default" w:ascii="Times New Roman" w:hAnsi="Times New Roman" w:eastAsia="黑体" w:cs="Times New Roman"/>
        <w:b w:val="0"/>
        <w:bCs w:val="0"/>
        <w:i w:val="0"/>
        <w:sz w:val="30"/>
        <w:szCs w:val="30"/>
        <w:lang w:val="en-US"/>
      </w:rPr>
    </w:lvl>
    <w:lvl w:ilvl="1" w:tentative="0">
      <w:start w:val="1"/>
      <w:numFmt w:val="decimal"/>
      <w:lvlText w:val="%2."/>
      <w:lvlJc w:val="left"/>
      <w:pPr>
        <w:tabs>
          <w:tab w:val="left" w:pos="420"/>
        </w:tabs>
        <w:ind w:left="0" w:firstLine="0"/>
      </w:pPr>
    </w:lvl>
    <w:lvl w:ilvl="2" w:tentative="0">
      <w:start w:val="1"/>
      <w:numFmt w:val="lowerRoman"/>
      <w:lvlText w:val="%3."/>
      <w:lvlJc w:val="right"/>
      <w:pPr>
        <w:ind w:left="0" w:firstLine="0"/>
      </w:pPr>
    </w:lvl>
    <w:lvl w:ilvl="3" w:tentative="0">
      <w:start w:val="1"/>
      <w:numFmt w:val="decimal"/>
      <w:lvlText w:val="%4."/>
      <w:lvlJc w:val="left"/>
      <w:pPr>
        <w:ind w:left="0" w:firstLine="0"/>
      </w:pPr>
    </w:lvl>
    <w:lvl w:ilvl="4" w:tentative="0">
      <w:start w:val="1"/>
      <w:numFmt w:val="lowerLetter"/>
      <w:lvlText w:val="%5)"/>
      <w:lvlJc w:val="left"/>
      <w:pPr>
        <w:ind w:left="0" w:firstLine="0"/>
      </w:pPr>
    </w:lvl>
    <w:lvl w:ilvl="5" w:tentative="0">
      <w:start w:val="1"/>
      <w:numFmt w:val="lowerRoman"/>
      <w:lvlText w:val="%6."/>
      <w:lvlJc w:val="right"/>
      <w:pPr>
        <w:ind w:left="0" w:firstLine="0"/>
      </w:pPr>
    </w:lvl>
    <w:lvl w:ilvl="6" w:tentative="0">
      <w:start w:val="1"/>
      <w:numFmt w:val="decimal"/>
      <w:lvlText w:val="%7."/>
      <w:lvlJc w:val="left"/>
      <w:pPr>
        <w:ind w:left="0" w:firstLine="0"/>
      </w:pPr>
    </w:lvl>
    <w:lvl w:ilvl="7" w:tentative="0">
      <w:start w:val="1"/>
      <w:numFmt w:val="lowerLetter"/>
      <w:lvlText w:val="%8)"/>
      <w:lvlJc w:val="left"/>
      <w:pPr>
        <w:ind w:left="0" w:firstLine="0"/>
      </w:pPr>
    </w:lvl>
    <w:lvl w:ilvl="8" w:tentative="0">
      <w:start w:val="1"/>
      <w:numFmt w:val="lowerRoman"/>
      <w:lvlText w:val="%9."/>
      <w:lvlJc w:val="righ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0D5F8C"/>
    <w:rsid w:val="000459B5"/>
    <w:rsid w:val="000C024F"/>
    <w:rsid w:val="000E4163"/>
    <w:rsid w:val="000E6DD1"/>
    <w:rsid w:val="00151306"/>
    <w:rsid w:val="001852DB"/>
    <w:rsid w:val="00233EF2"/>
    <w:rsid w:val="00317600"/>
    <w:rsid w:val="00373A58"/>
    <w:rsid w:val="003A48D0"/>
    <w:rsid w:val="003C2D04"/>
    <w:rsid w:val="003E1945"/>
    <w:rsid w:val="004A1ED5"/>
    <w:rsid w:val="004D677A"/>
    <w:rsid w:val="005538C1"/>
    <w:rsid w:val="00585D25"/>
    <w:rsid w:val="0064528E"/>
    <w:rsid w:val="00646D90"/>
    <w:rsid w:val="006C624D"/>
    <w:rsid w:val="00702A9A"/>
    <w:rsid w:val="00776673"/>
    <w:rsid w:val="00791AB2"/>
    <w:rsid w:val="007A6EC1"/>
    <w:rsid w:val="007D5B06"/>
    <w:rsid w:val="00816E72"/>
    <w:rsid w:val="009569D1"/>
    <w:rsid w:val="009B46E1"/>
    <w:rsid w:val="009E0475"/>
    <w:rsid w:val="009E3A13"/>
    <w:rsid w:val="009F4487"/>
    <w:rsid w:val="00A11BBE"/>
    <w:rsid w:val="00A47F23"/>
    <w:rsid w:val="00A90FAD"/>
    <w:rsid w:val="00B23D3D"/>
    <w:rsid w:val="00C20045"/>
    <w:rsid w:val="00D13CA5"/>
    <w:rsid w:val="00DA776E"/>
    <w:rsid w:val="00DC22E4"/>
    <w:rsid w:val="00DF224A"/>
    <w:rsid w:val="00E07627"/>
    <w:rsid w:val="00E8751D"/>
    <w:rsid w:val="00ED0D00"/>
    <w:rsid w:val="00F3575C"/>
    <w:rsid w:val="00F46B8A"/>
    <w:rsid w:val="00F70474"/>
    <w:rsid w:val="00F951C5"/>
    <w:rsid w:val="19991AC8"/>
    <w:rsid w:val="1D0D5F8C"/>
    <w:rsid w:val="1E0314DD"/>
    <w:rsid w:val="1E9621D4"/>
    <w:rsid w:val="1FA12FAD"/>
    <w:rsid w:val="24715ECA"/>
    <w:rsid w:val="26C273DC"/>
    <w:rsid w:val="2740389E"/>
    <w:rsid w:val="274A7179"/>
    <w:rsid w:val="2ED95618"/>
    <w:rsid w:val="374A0800"/>
    <w:rsid w:val="395F1FEE"/>
    <w:rsid w:val="413B671E"/>
    <w:rsid w:val="537C655C"/>
    <w:rsid w:val="57D102B9"/>
    <w:rsid w:val="5DEE2838"/>
    <w:rsid w:val="5E483A47"/>
    <w:rsid w:val="656301A7"/>
    <w:rsid w:val="65C745A9"/>
    <w:rsid w:val="66C60F75"/>
    <w:rsid w:val="6AC938C2"/>
    <w:rsid w:val="6C996201"/>
    <w:rsid w:val="6CBC78E1"/>
    <w:rsid w:val="713A3C99"/>
    <w:rsid w:val="788C3D53"/>
    <w:rsid w:val="79964531"/>
    <w:rsid w:val="7B0D2D0B"/>
    <w:rsid w:val="B8B310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ody Text Indent"/>
    <w:basedOn w:val="1"/>
    <w:qFormat/>
    <w:uiPriority w:val="99"/>
    <w:pPr>
      <w:ind w:firstLine="419" w:firstLineChars="131"/>
    </w:pPr>
    <w:rPr>
      <w:sz w:val="32"/>
    </w:rPr>
  </w:style>
  <w:style w:type="paragraph" w:styleId="5">
    <w:name w:val="footer"/>
    <w:basedOn w:val="1"/>
    <w:link w:val="15"/>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paragraph" w:styleId="8">
    <w:name w:val="Body Text First Indent 2"/>
    <w:basedOn w:val="4"/>
    <w:unhideWhenUsed/>
    <w:qFormat/>
    <w:uiPriority w:val="99"/>
    <w:pPr>
      <w:spacing w:before="100" w:beforeAutospacing="1"/>
      <w:ind w:left="200" w:firstLine="200" w:firstLineChars="200"/>
    </w:pPr>
    <w:rPr>
      <w:rFonts w:ascii="Times New Roman" w:hAnsi="Times New Roman" w:eastAsia="仿宋_GB2312"/>
      <w:szCs w:val="32"/>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qFormat/>
    <w:uiPriority w:val="0"/>
    <w:rPr>
      <w:color w:val="0000FF"/>
      <w:u w:val="single"/>
    </w:rPr>
  </w:style>
  <w:style w:type="paragraph" w:customStyle="1" w:styleId="13">
    <w:name w:val="jx-正文"/>
    <w:basedOn w:val="1"/>
    <w:qFormat/>
    <w:uiPriority w:val="0"/>
    <w:pPr>
      <w:ind w:firstLine="600" w:firstLineChars="200"/>
    </w:pPr>
    <w:rPr>
      <w:rFonts w:ascii="Times New Roman" w:hAnsi="Times New Roman" w:eastAsia="仿宋_GB2312"/>
      <w:color w:val="000000" w:themeColor="text1"/>
      <w:sz w:val="30"/>
      <w:szCs w:val="30"/>
      <w14:textFill>
        <w14:solidFill>
          <w14:schemeClr w14:val="tx1"/>
        </w14:solidFill>
      </w14:textFill>
    </w:rPr>
  </w:style>
  <w:style w:type="character" w:customStyle="1" w:styleId="14">
    <w:name w:val="页眉 字符"/>
    <w:basedOn w:val="11"/>
    <w:link w:val="6"/>
    <w:qFormat/>
    <w:uiPriority w:val="0"/>
    <w:rPr>
      <w:rFonts w:asciiTheme="minorHAnsi" w:hAnsiTheme="minorHAnsi" w:eastAsiaTheme="minorEastAsia" w:cstheme="minorBidi"/>
      <w:kern w:val="2"/>
      <w:sz w:val="18"/>
      <w:szCs w:val="18"/>
    </w:rPr>
  </w:style>
  <w:style w:type="character" w:customStyle="1" w:styleId="15">
    <w:name w:val="页脚 字符"/>
    <w:basedOn w:val="11"/>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641A35BA-2513-4B66-AC79-D246FEB4652E}">
  <ds:schemaRefs/>
</ds:datastoreItem>
</file>

<file path=docProps/app.xml><?xml version="1.0" encoding="utf-8"?>
<Properties xmlns="http://schemas.openxmlformats.org/officeDocument/2006/extended-properties" xmlns:vt="http://schemas.openxmlformats.org/officeDocument/2006/docPropsVTypes">
  <Template>Normal</Template>
  <Company>县自然资源局</Company>
  <Pages>18</Pages>
  <Words>1639</Words>
  <Characters>9346</Characters>
  <Lines>77</Lines>
  <Paragraphs>21</Paragraphs>
  <TotalTime>2</TotalTime>
  <ScaleCrop>false</ScaleCrop>
  <LinksUpToDate>false</LinksUpToDate>
  <CharactersWithSpaces>10964</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2026-07-01T01:12:00Z</dcterms:created>
  <dc:creator>空明</dc:creator>
  <cp:lastModifiedBy>thtf</cp:lastModifiedBy>
  <dcterms:modified xsi:type="dcterms:W3CDTF">2026-08-04T11:45:59Z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672E6736700D48A08B9C05CE68AE43ED_13</vt:lpwstr>
  </property>
  <property fmtid="{D5CDD505-2E9C-101B-9397-08002B2CF9AE}" pid="4" name="KSOTemplateDocerSaveRecord">
    <vt:lpwstr>eyJoZGlkIjoiMmE0YTBjNTBlYmQ1YWQ3MDliN2I1NmMwMWIzZDc2ZjEiLCJ1c2VySWQiOiIzNTQ0NzA4NTUifQ==</vt:lpwstr>
  </property>
</Properties>
</file>